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color w:val="A6A6A6" w:themeColor="background1" w:themeShade="a6"/>
          <w:lang w:val="lt-LT"/>
        </w:rPr>
      </w:pPr>
      <w:r>
        <w:rPr>
          <w:lang w:val="lt-LT"/>
        </w:rPr>
        <w:t>Globaliojo optimizavimo grupė</w:t>
      </w:r>
      <w:r>
        <w:rPr>
          <w:b/>
          <w:lang w:val="lt-LT"/>
        </w:rPr>
        <w:t xml:space="preserve"> 2023 m. svarbiausi MTEP pasiekimai</w:t>
      </w:r>
      <w:r>
        <w:rPr>
          <w:rStyle w:val="FootnoteAnchor"/>
          <w:b/>
          <w:lang w:val="lt-LT"/>
        </w:rPr>
        <w:footnoteReference w:id="2"/>
      </w:r>
      <w:r>
        <w:rPr>
          <w:b/>
          <w:lang w:val="lt-LT"/>
        </w:rPr>
        <w:br/>
      </w:r>
      <w:r>
        <w:rPr>
          <w:color w:val="A6A6A6" w:themeColor="background1" w:themeShade="a6"/>
          <w:lang w:val="lt-LT"/>
        </w:rPr>
        <w:t>VU MIF DMSTI akademinio padalinio pavadinimas</w:t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p>
      <w:pPr>
        <w:pStyle w:val="Normal"/>
        <w:spacing w:lineRule="auto" w:line="240" w:before="0" w:after="0"/>
        <w:rPr>
          <w:i/>
          <w:i/>
          <w:sz w:val="20"/>
          <w:lang w:val="lt-LT"/>
        </w:rPr>
      </w:pPr>
      <w:r>
        <w:rPr>
          <w:b/>
          <w:lang w:val="lt-LT"/>
        </w:rPr>
        <w:t xml:space="preserve">1. Geriausių mokslo darbų sąrašas </w:t>
      </w:r>
      <w:r>
        <w:rPr>
          <w:i/>
          <w:lang w:val="lt-LT"/>
        </w:rPr>
        <w:t>(iki 4)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6"/>
        <w:gridCol w:w="8511"/>
        <w:gridCol w:w="1560"/>
        <w:gridCol w:w="4535"/>
      </w:tblGrid>
      <w:tr>
        <w:trPr>
          <w:trHeight w:val="749" w:hRule="atLeast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Bibliografinis aprašas</w:t>
            </w:r>
            <w:r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darbo dalis (0,000-1)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mokslo darbą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ir (arba) pridedamas dokumentas</w:t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P. Fernández, A. Lančinskas, B. Pelegrín, J. Žilinskas (202</w:t>
            </w:r>
            <w:r>
              <w:rPr>
                <w:rFonts w:eastAsia="Calibri"/>
                <w:lang w:val="lt-LT"/>
              </w:rPr>
              <w:t>3</w:t>
            </w:r>
            <w:r>
              <w:rPr>
                <w:rFonts w:eastAsia="Calibri"/>
                <w:lang w:val="lt-LT"/>
              </w:rPr>
              <w:t>). A discrete competitive facility location model with proportional and binary rules sequentially applied. Optimization Letters, 17, 867–877. DOI:10.1007/s11590-022-01938-x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0.5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https://link.springer.com/article/10.1007/s11590-022-01938-x</w:t>
            </w:r>
          </w:p>
        </w:tc>
      </w:tr>
      <w:tr>
        <w:trPr/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8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S. Tautvaišas, J. Žilinskas (2023). Heteroscedastic Bayesian optimization using generalized product of experts. Journal of </w:t>
            </w:r>
            <w:r>
              <w:rPr>
                <w:rFonts w:eastAsia="Calibri"/>
                <w:lang w:val="lt-LT"/>
              </w:rPr>
              <w:t>G</w:t>
            </w:r>
            <w:r>
              <w:rPr>
                <w:rFonts w:eastAsia="Calibri"/>
                <w:lang w:val="lt-LT"/>
              </w:rPr>
              <w:t xml:space="preserve">lobal </w:t>
            </w:r>
            <w:r>
              <w:rPr>
                <w:rFonts w:eastAsia="Calibri"/>
                <w:lang w:val="lt-LT"/>
              </w:rPr>
              <w:t>O</w:t>
            </w:r>
            <w:r>
              <w:rPr>
                <w:rFonts w:eastAsia="Calibri"/>
                <w:lang w:val="lt-LT"/>
              </w:rPr>
              <w:t xml:space="preserve">ptimization. </w:t>
            </w:r>
            <w:r>
              <w:rPr>
                <w:rFonts w:eastAsia="Calibri"/>
                <w:lang w:val="lt-LT"/>
              </w:rPr>
              <w:t>DOI:</w:t>
            </w:r>
            <w:r>
              <w:rPr>
                <w:rFonts w:eastAsia="Calibri"/>
                <w:lang w:val="lt-LT"/>
              </w:rPr>
              <w:t>10.1007/s10898-023-01333-5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https://link.springer.com/article/10.1007/s10898-023-01333-5</w:t>
            </w:r>
          </w:p>
        </w:tc>
      </w:tr>
      <w:tr>
        <w:trPr/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8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b/>
          <w:lang w:val="lt-LT"/>
        </w:rPr>
        <w:t xml:space="preserve">2. Geriausi konferencijose užsienyje skaityti pranešimai </w:t>
      </w:r>
      <w:r>
        <w:rPr>
          <w:i/>
          <w:lang w:val="lt-LT"/>
        </w:rPr>
        <w:t>(ne daugiau 2 vienoje mokslo kryptyje)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74"/>
        <w:gridCol w:w="798"/>
        <w:gridCol w:w="1763"/>
        <w:gridCol w:w="1139"/>
        <w:gridCol w:w="1691"/>
        <w:gridCol w:w="3669"/>
        <w:gridCol w:w="5528"/>
      </w:tblGrid>
      <w:tr>
        <w:trPr/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darbo dalis (0,000-1)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konferencijos puslapį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</w:t>
            </w:r>
            <w:r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Konferencijos pavadinimas</w:t>
            </w:r>
            <w:r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Pranešimo pavadinimas;</w:t>
            </w:r>
            <w:bookmarkStart w:id="0" w:name="_GoBack"/>
            <w:bookmarkEnd w:id="0"/>
            <w:r>
              <w:rPr>
                <w:rFonts w:eastAsia="Calibri"/>
                <w:lang w:val="lt-LT"/>
              </w:rPr>
              <w:t xml:space="preserve"> mokslo kryptis</w:t>
            </w:r>
          </w:p>
        </w:tc>
      </w:tr>
      <w:tr>
        <w:trPr/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Heraklionas, Graikija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b/>
                <w:b/>
                <w:bCs/>
                <w:lang w:val="lt-LT"/>
              </w:rPr>
            </w:pPr>
            <w:r>
              <w:rPr>
                <w:rFonts w:eastAsia="Calibri"/>
                <w:b/>
                <w:bCs/>
                <w:lang w:val="lt-LT"/>
              </w:rPr>
              <w:t>Julius Žilinskas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http://history.icnaam.org/icnaam_2023/icnaam.org/index.html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21st International Conference of Numerical Analysis and Applied Mathematics, </w:t>
            </w:r>
            <w:r>
              <w:rPr>
                <w:rFonts w:eastAsia="Calibri"/>
                <w:lang w:val="lt-LT"/>
              </w:rPr>
              <w:t>rugsėjo 11-17, 2023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Kviestinis pranešimas, </w:t>
            </w:r>
            <w:r>
              <w:rPr>
                <w:rFonts w:eastAsia="Calibri"/>
                <w:lang w:val="lt-LT"/>
              </w:rPr>
              <w:t xml:space="preserve">Discrete Competitive Facility Location and Ranking of Candidates in Optimization Algorithms; </w:t>
            </w:r>
            <w:r>
              <w:rPr>
                <w:rFonts w:eastAsia="Calibri"/>
                <w:lang w:val="lt-LT"/>
              </w:rPr>
              <w:t>informatikos inžinerija</w:t>
            </w:r>
          </w:p>
        </w:tc>
      </w:tr>
      <w:tr>
        <w:trPr/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Kalabrija, Italija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b/>
                <w:bCs/>
                <w:lang w:val="lt-LT"/>
              </w:rPr>
              <w:t>Julius Žilinskas</w:t>
            </w:r>
            <w:r>
              <w:rPr>
                <w:rFonts w:eastAsia="Calibri"/>
                <w:lang w:val="lt-LT"/>
              </w:rPr>
              <w:t>, Algirdas Lančinskas, Pascual Fernández, Blas Pelegrín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0,5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https://www.numta.org/</w:t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4th International Conference and Summer School NUMTA 2023 "Numerical Computations: Theory and Algorithms"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birželio</w:t>
            </w:r>
            <w:r>
              <w:rPr>
                <w:rFonts w:eastAsia="Calibri"/>
                <w:lang w:val="lt-LT"/>
              </w:rPr>
              <w:t xml:space="preserve"> 14-20, 2023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Discrete Facility Location with Ranking of Location Candidates Using High-Performance Computing Systems; </w:t>
            </w:r>
            <w:r>
              <w:rPr>
                <w:rFonts w:eastAsia="Calibri"/>
                <w:lang w:val="lt-LT"/>
              </w:rPr>
              <w:t>informatikos inžinerija</w:t>
            </w:r>
          </w:p>
        </w:tc>
      </w:tr>
      <w:tr>
        <w:trPr/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Atėn</w:t>
            </w:r>
            <w:r>
              <w:rPr>
                <w:rFonts w:eastAsia="Calibri"/>
                <w:lang w:val="lt-LT"/>
              </w:rPr>
              <w:t>ai</w:t>
            </w:r>
            <w:r>
              <w:rPr>
                <w:rFonts w:eastAsia="Calibri"/>
                <w:lang w:val="lt-LT"/>
              </w:rPr>
              <w:t>, Graikija</w:t>
            </w:r>
          </w:p>
        </w:tc>
        <w:tc>
          <w:tcPr>
            <w:tcW w:w="1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b/>
                <w:bCs/>
                <w:lang w:val="lt-LT"/>
              </w:rPr>
              <w:t>Mindaugas Kepalas</w:t>
            </w:r>
            <w:r>
              <w:rPr>
                <w:rFonts w:eastAsia="Calibri"/>
                <w:lang w:val="lt-LT"/>
              </w:rPr>
              <w:t>, Julius Žilinskas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http://www.globaloptimization.org/conferences/wcgo-2023/</w:t>
            </w:r>
          </w:p>
        </w:tc>
        <w:tc>
          <w:tcPr>
            <w:tcW w:w="3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2023 World Congress on Global Optimization (WCGO 2023) liepos 10-14, </w:t>
            </w:r>
            <w:r>
              <w:rPr>
                <w:rFonts w:eastAsia="Calibri"/>
                <w:lang w:val="lt-LT"/>
              </w:rPr>
              <w:t>2023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2-Dimensional Net-Constrained Clustering Problem; </w:t>
            </w:r>
            <w:r>
              <w:rPr>
                <w:rFonts w:eastAsia="Calibri"/>
                <w:lang w:val="lt-LT"/>
              </w:rPr>
              <w:t>informatika</w:t>
            </w:r>
          </w:p>
        </w:tc>
      </w:tr>
    </w:tbl>
    <w:p>
      <w:pPr>
        <w:pStyle w:val="Normal"/>
        <w:keepNext w:val="true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3. Vykdomi tarptautinių programų projektai</w:t>
      </w:r>
    </w:p>
    <w:tbl>
      <w:tblPr>
        <w:tblW w:w="15062" w:type="dxa"/>
        <w:jc w:val="left"/>
        <w:tblInd w:w="-23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44"/>
        <w:gridCol w:w="3969"/>
        <w:gridCol w:w="4137"/>
        <w:gridCol w:w="1390"/>
        <w:gridCol w:w="981"/>
        <w:gridCol w:w="708"/>
        <w:gridCol w:w="741"/>
        <w:gridCol w:w="1449"/>
        <w:gridCol w:w="1241"/>
      </w:tblGrid>
      <w:tr>
        <w:trPr>
          <w:trHeight w:val="23" w:hRule="atLeast"/>
          <w:cantSplit w:val="true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Vadovas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MTEP projektas </w:t>
              <w:br/>
              <w:t>(taip / ne)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Per metus pagal sutartį gautos lėšos (tūkst. Eur)</w:t>
            </w:r>
          </w:p>
        </w:tc>
      </w:tr>
      <w:tr>
        <w:trPr>
          <w:trHeight w:val="23" w:hRule="atLeast"/>
          <w:cantSplit w:val="true"/>
        </w:trPr>
        <w:tc>
          <w:tcPr>
            <w:tcW w:w="4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3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41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nuo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</w:tr>
      <w:tr>
        <w:trPr>
          <w:trHeight w:val="23" w:hRule="atLeast"/>
          <w:cantSplit w:val="true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4. MTEP vykdymo sutartys</w:t>
      </w:r>
    </w:p>
    <w:tbl>
      <w:tblPr>
        <w:tblW w:w="15162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03"/>
        <w:gridCol w:w="867"/>
        <w:gridCol w:w="2268"/>
        <w:gridCol w:w="4470"/>
        <w:gridCol w:w="1625"/>
        <w:gridCol w:w="851"/>
        <w:gridCol w:w="708"/>
        <w:gridCol w:w="1134"/>
        <w:gridCol w:w="1503"/>
        <w:gridCol w:w="1331"/>
      </w:tblGrid>
      <w:tr>
        <w:trPr>
          <w:trHeight w:val="21" w:hRule="atLeast"/>
          <w:cantSplit w:val="true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Eil. Nr.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left="-9" w:hanging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right="-168" w:hanging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right="-108" w:hanging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DMSTI tenkanti gautų lėšų dalis proc. (0 … 100)</w:t>
            </w:r>
          </w:p>
        </w:tc>
      </w:tr>
      <w:tr>
        <w:trPr>
          <w:trHeight w:val="340" w:hRule="atLeast"/>
          <w:cantSplit w:val="true"/>
        </w:trPr>
        <w:tc>
          <w:tcPr>
            <w:tcW w:w="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8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44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nuo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3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</w:tr>
      <w:tr>
        <w:trPr>
          <w:trHeight w:val="21" w:hRule="atLeast"/>
          <w:cantSplit w:val="true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</w:tr>
    </w:tbl>
    <w:p>
      <w:pPr>
        <w:pStyle w:val="Normal"/>
        <w:widowControl w:val="false"/>
        <w:tabs>
          <w:tab w:val="clear" w:pos="720"/>
          <w:tab w:val="center" w:pos="4153" w:leader="none"/>
          <w:tab w:val="right" w:pos="8306" w:leader="none"/>
        </w:tabs>
        <w:spacing w:lineRule="auto" w:line="240" w:before="0" w:after="0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* Subjekto tipas:   </w:t>
        <w:tab/>
        <w:t>4.1. Lietuvos ūkio subjektas (išskyrus nurodytus 4.3–4.5 papunkčiuose);  4.2. užsienio subjektas;</w:t>
      </w:r>
    </w:p>
    <w:p>
      <w:pPr>
        <w:pStyle w:val="Normal"/>
        <w:widowControl w:val="false"/>
        <w:tabs>
          <w:tab w:val="clear" w:pos="720"/>
          <w:tab w:val="right" w:pos="8306" w:leader="none"/>
        </w:tabs>
        <w:spacing w:lineRule="auto" w:line="240" w:before="0" w:after="0"/>
        <w:ind w:left="1560" w:hanging="0"/>
        <w:jc w:val="both"/>
        <w:rPr>
          <w:lang w:val="lt-LT"/>
        </w:rPr>
      </w:pPr>
      <w:r>
        <w:rPr>
          <w:szCs w:val="24"/>
          <w:lang w:val="lt-LT"/>
        </w:rPr>
        <w:t xml:space="preserve"> </w:t>
      </w:r>
      <w:r>
        <w:rPr>
          <w:szCs w:val="24"/>
          <w:lang w:val="lt-LT"/>
        </w:rPr>
        <w:t>4.3. Lietuvos valstybinė institucija ar įstaiga;  4.4. Lietuvos savivaldybių institucija ir įstaiga;  4.5. Lietuvos mokslo ir studijų institucija.</w:t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b/>
          <w:color w:val="808080" w:themeColor="background1" w:themeShade="80"/>
          <w:lang w:val="lt-LT"/>
        </w:rPr>
      </w:pPr>
      <w:r>
        <w:rPr>
          <w:b/>
          <w:color w:val="808080" w:themeColor="background1" w:themeShade="80"/>
          <w:szCs w:val="24"/>
          <w:lang w:val="lt-LT" w:eastAsia="lt-LT"/>
        </w:rPr>
        <w:t>5. P</w:t>
      </w:r>
      <w:r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21"/>
        <w:gridCol w:w="849"/>
        <w:gridCol w:w="2269"/>
        <w:gridCol w:w="4365"/>
        <w:gridCol w:w="1730"/>
        <w:gridCol w:w="851"/>
        <w:gridCol w:w="708"/>
        <w:gridCol w:w="1134"/>
        <w:gridCol w:w="1418"/>
        <w:gridCol w:w="1416"/>
      </w:tblGrid>
      <w:tr>
        <w:trPr>
          <w:trHeight w:val="22" w:hRule="atLeast"/>
          <w:cantSplit w:val="true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right="-115" w:hanging="0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Per metus pagal sutartį gautos lėšos (tūkst.Eur)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right="-107" w:hanging="0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>
        <w:trPr>
          <w:trHeight w:val="353" w:hRule="atLeast"/>
          <w:cantSplit w:val="true"/>
        </w:trPr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4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17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</w:tr>
      <w:tr>
        <w:trPr>
          <w:trHeight w:val="22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808080" w:themeColor="background1" w:themeShade="80"/>
                <w:lang w:val="lt-LT"/>
              </w:rPr>
            </w:pPr>
            <w:r>
              <w:rPr>
                <w:color w:val="808080" w:themeColor="background1" w:themeShade="80"/>
                <w:lang w:val="lt-LT"/>
              </w:rPr>
            </w:r>
          </w:p>
        </w:tc>
      </w:tr>
    </w:tbl>
    <w:p>
      <w:pPr>
        <w:pStyle w:val="Normal"/>
        <w:widowControl w:val="false"/>
        <w:tabs>
          <w:tab w:val="clear" w:pos="720"/>
          <w:tab w:val="center" w:pos="4153" w:leader="none"/>
          <w:tab w:val="right" w:pos="8306" w:leader="none"/>
        </w:tabs>
        <w:spacing w:lineRule="auto" w:line="240" w:before="0" w:after="0"/>
        <w:jc w:val="both"/>
        <w:rPr>
          <w:color w:val="808080" w:themeColor="background1" w:themeShade="80"/>
          <w:szCs w:val="24"/>
          <w:lang w:val="lt-LT"/>
        </w:rPr>
      </w:pPr>
      <w:r>
        <w:rPr>
          <w:color w:val="808080" w:themeColor="background1" w:themeShade="80"/>
          <w:szCs w:val="24"/>
          <w:lang w:val="lt-LT"/>
        </w:rPr>
        <w:t xml:space="preserve">* Subjekto tipas:   </w:t>
        <w:tab/>
        <w:t>5.1. Lietuvos ūkio subjektas (išskyrus nurodytus 5.3–5.5 papunkčiuose);  5.2. užsienio subjektas;</w:t>
      </w:r>
    </w:p>
    <w:p>
      <w:pPr>
        <w:pStyle w:val="Normal"/>
        <w:widowControl w:val="false"/>
        <w:tabs>
          <w:tab w:val="clear" w:pos="720"/>
          <w:tab w:val="right" w:pos="8306" w:leader="none"/>
        </w:tabs>
        <w:spacing w:lineRule="auto" w:line="240" w:before="0" w:after="0"/>
        <w:ind w:left="1560" w:hanging="0"/>
        <w:jc w:val="both"/>
        <w:rPr>
          <w:color w:val="808080" w:themeColor="background1" w:themeShade="80"/>
          <w:lang w:val="lt-LT"/>
        </w:rPr>
      </w:pPr>
      <w:r>
        <w:rPr>
          <w:color w:val="808080" w:themeColor="background1" w:themeShade="80"/>
          <w:szCs w:val="24"/>
          <w:lang w:val="lt-LT"/>
        </w:rPr>
        <w:t xml:space="preserve"> </w:t>
      </w:r>
      <w:r>
        <w:rPr>
          <w:color w:val="808080" w:themeColor="background1" w:themeShade="80"/>
          <w:szCs w:val="24"/>
          <w:lang w:val="lt-LT"/>
        </w:rPr>
        <w:t>5.3. Lietuvos valstybinė institucija ar įstaiga;  5.4. Lietuvos savivaldybių institucija ir įstaiga; 5.5. Lietuvos mokslo ir studijų institucija.</w:t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6.</w:t>
      </w:r>
      <w:r>
        <w:rPr>
          <w:b/>
          <w:color w:val="A6A6A6" w:themeColor="background1" w:themeShade="a6"/>
          <w:lang w:val="lt-LT"/>
        </w:rPr>
        <w:t xml:space="preserve"> </w:t>
      </w:r>
      <w:r>
        <w:rPr>
          <w:b/>
          <w:lang w:val="lt-LT"/>
        </w:rPr>
        <w:t xml:space="preserve">Gauti apdovanojimai už MTEP veiklą 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83"/>
        <w:gridCol w:w="2531"/>
        <w:gridCol w:w="1983"/>
        <w:gridCol w:w="4821"/>
        <w:gridCol w:w="5245"/>
      </w:tblGrid>
      <w:tr>
        <w:trPr/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>
        <w:trPr/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European Society of Computational Methods in Science and Engineering, Honorary Fellowship for outstanding contribution in Global Optimization and Data Analysis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Audronė Jakaitienė, Rimantas Želvys, Saulė Raižienė, Rita Dukynaitė, Dovilė Stumbrienė, Jogaila Vaitekaitis, Laura Ringienė, Julius Žilinskas, Antanas Žilinskas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8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Vilniaus universiteto 2022 m. g</w:t>
            </w:r>
            <w:r>
              <w:rPr>
                <w:rFonts w:eastAsia="Calibri"/>
                <w:lang w:val="lt-LT"/>
              </w:rPr>
              <w:t>eriausios humanitarinių ir socialinių mokslų sričių publikacijos kategorijoje apdovanojim</w:t>
            </w:r>
            <w:r>
              <w:rPr>
                <w:rFonts w:eastAsia="Calibri"/>
                <w:lang w:val="lt-LT"/>
              </w:rPr>
              <w:t>as už</w:t>
            </w:r>
            <w:r>
              <w:rPr>
                <w:rFonts w:eastAsia="Calibri"/>
                <w:lang w:val="lt-LT"/>
              </w:rPr>
              <w:t xml:space="preserve"> monografiją „(Ne)išmatuojamas švietimo efektyvumas ir našumas. Vilnius: Vilniaus universiteto leidykla, 2022“.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Apdovanojimas gautas 2023 m.</w:t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ind w:left="709" w:hanging="709"/>
        <w:rPr>
          <w:b/>
          <w:b/>
          <w:lang w:val="lt-LT"/>
        </w:rPr>
      </w:pPr>
      <w:r>
        <w:rPr>
          <w:b/>
          <w:lang w:val="lt-LT"/>
        </w:rPr>
        <w:t xml:space="preserve">7. </w:t>
      </w:r>
      <w:r>
        <w:rPr>
          <w:rFonts w:eastAsia="Calibri"/>
          <w:b/>
          <w:szCs w:val="24"/>
          <w:lang w:val="lt-LT"/>
        </w:rPr>
        <w:t xml:space="preserve">Tyrėjų </w:t>
      </w:r>
      <w:r>
        <w:rPr>
          <w:b/>
          <w:szCs w:val="24"/>
          <w:lang w:val="lt-LT" w:eastAsia="lt-LT"/>
        </w:rPr>
        <w:t xml:space="preserve">svarbiausių </w:t>
      </w:r>
      <w:r>
        <w:rPr>
          <w:rFonts w:eastAsia="Calibri"/>
          <w:b/>
          <w:szCs w:val="24"/>
          <w:lang w:val="lt-LT"/>
        </w:rPr>
        <w:t xml:space="preserve">dalyvavimo </w:t>
      </w:r>
      <w:r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151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1"/>
        <w:gridCol w:w="1662"/>
        <w:gridCol w:w="3584"/>
        <w:gridCol w:w="3260"/>
        <w:gridCol w:w="1999"/>
        <w:gridCol w:w="4109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right="-114" w:hanging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Darbo grupė ar komisija; dalyva</w:t>
              <w:softHyphen/>
              <w:t>vimą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firstLine="62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https://www.lmt.lt/lt/apie-taryba/gamtos-ir-technikos-mokslu-komitetas/prof.-dr.-julius-zilinskas/3815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Lietuvos mokslo tarybos Gamtos ir technikos mokslų komitetas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8. Visuomenei ar ūkio subjektams suteiktų svarbiausių konsultacijų sąrašas</w:t>
      </w:r>
    </w:p>
    <w:tbl>
      <w:tblPr>
        <w:tblW w:w="152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773"/>
        <w:gridCol w:w="2834"/>
        <w:gridCol w:w="3544"/>
        <w:gridCol w:w="2694"/>
        <w:gridCol w:w="3894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9. Tyrėjų narysčių mokslinių žurnalų redakcinėse kolegijose svarbiausių atvejų sąrašas</w:t>
      </w:r>
    </w:p>
    <w:tbl>
      <w:tblPr>
        <w:tblW w:w="152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1"/>
        <w:gridCol w:w="1914"/>
        <w:gridCol w:w="1701"/>
        <w:gridCol w:w="2634"/>
        <w:gridCol w:w="4595"/>
        <w:gridCol w:w="3918"/>
      </w:tblGrid>
      <w:tr>
        <w:trPr/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right="-106" w:hanging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žurnalą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Pozicija redakcinėje kolegijoje</w:t>
            </w:r>
          </w:p>
        </w:tc>
      </w:tr>
      <w:tr>
        <w:trPr/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2008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https://www.springer.com/journal/10287/editors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bookmarkStart w:id="1" w:name="divtagdefaultwrapper2"/>
            <w:bookmarkStart w:id="2" w:name="divtagdefaultwrapper1"/>
            <w:bookmarkEnd w:id="1"/>
            <w:bookmarkEnd w:id="2"/>
            <w:r>
              <w:rPr>
                <w:rFonts w:eastAsia="Calibri"/>
                <w:color w:val="000000"/>
                <w:sz w:val="24"/>
                <w:lang w:val="lt-LT"/>
              </w:rPr>
              <w:t>Computational Management Science, Springer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https://journals.agh.edu.pl/csci/about/editorialTeam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Computer Science, AGH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2008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https://informatica.vu.lt/journal/INFORMATICA/information/INFORMATICA-Editorial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Informatica, VU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Redaktorius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https://itc.ktu.lt/index.php/ITC/about/editorialTeam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Information Technology and Control, KTU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2012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https://www.springer.com/journal/10898/editors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Journal of Global Optimization,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2015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https://www.springer.com/journal/186/editors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Mathematical Methods of Operations Research,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2009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https://journals.vilniustech.lt/index.php/MMA/editorialboard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Mathematical Modelling and Analysis, VGTU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2010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https://www.degruyter.com/journal/key/comp/html#editorial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Open Computer Science, De Gruyter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2010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https://www.degruyter.com/journal/key/eng/html#editorial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Open Engineering, De Gruyter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https://www.springer.com/journal/11590/editors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Optimization Letters,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2019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https://www.springer.com/journal/43069/editors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Operations Research Forum, Springer Nature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ind w:left="709" w:hanging="709"/>
        <w:rPr>
          <w:b/>
          <w:b/>
          <w:lang w:val="lt-LT"/>
        </w:rPr>
      </w:pPr>
      <w:r>
        <w:rPr>
          <w:b/>
          <w:lang w:val="lt-LT"/>
        </w:rPr>
        <w:t>10. Tyrėjų svarbiausių narysčių tarptautinėse darbo grupėse, asociacijose ir pan. sąrašas</w:t>
      </w:r>
    </w:p>
    <w:tbl>
      <w:tblPr>
        <w:tblW w:w="153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988"/>
        <w:gridCol w:w="1627"/>
        <w:gridCol w:w="2552"/>
        <w:gridCol w:w="3119"/>
        <w:gridCol w:w="1701"/>
        <w:gridCol w:w="3848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Narystę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Algirdas Lančinskas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 xml:space="preserve">Nuo </w:t>
            </w:r>
            <w:r>
              <w:rPr>
                <w:rFonts w:eastAsia="Calibri"/>
              </w:rPr>
              <w:t>2013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https://www.hipeac.net/network/#/members/list/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HiPEAC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Afiliuotasis narys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Algirdas Lančinskas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2023–2027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fldChar w:fldCharType="begin"/>
            </w:r>
            <w:r>
              <w:rPr>
                <w:rStyle w:val="InternetLink"/>
                <w:rFonts w:eastAsia="Calibri"/>
                <w:lang w:val="lt-LT"/>
              </w:rPr>
              <w:instrText xml:space="preserve"> HYPERLINK "https://www.cost.eu/actions/CA22137/" \l "tabs+Name:Management Committee"</w:instrText>
            </w:r>
            <w:r>
              <w:rPr>
                <w:rStyle w:val="InternetLink"/>
                <w:rFonts w:eastAsia="Calibri"/>
                <w:lang w:val="lt-LT"/>
              </w:rPr>
              <w:fldChar w:fldCharType="separate"/>
            </w:r>
            <w:r>
              <w:rPr>
                <w:rStyle w:val="InternetLink"/>
                <w:rFonts w:eastAsia="Calibri"/>
                <w:lang w:val="lt-LT"/>
              </w:rPr>
              <w:t>Nuoroda į valdymo komiteto narių sąrašą</w:t>
            </w:r>
            <w:r>
              <w:rPr>
                <w:rStyle w:val="InternetLink"/>
                <w:rFonts w:eastAsia="Calibri"/>
                <w:lang w:val="lt-LT"/>
              </w:rPr>
              <w:fldChar w:fldCharType="end"/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Lietuvos atstovas COST veiklos CA22137 valdymo komitete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Atstovauti Lietuvos interesus valdymo komitete</w:t>
            </w:r>
          </w:p>
        </w:tc>
        <w:tc>
          <w:tcPr>
            <w:tcW w:w="3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Algirdas Lančinskas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2023–2027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fldChar w:fldCharType="begin"/>
            </w:r>
            <w:r>
              <w:rPr>
                <w:rStyle w:val="InternetLink"/>
                <w:rFonts w:eastAsia="Calibri"/>
                <w:lang w:val="lt-LT"/>
              </w:rPr>
              <w:instrText xml:space="preserve"> HYPERLINK "https://www.cost.eu/actions/CA22137/" \l "tabs+Name:Working Groups and Membership"</w:instrText>
            </w:r>
            <w:r>
              <w:rPr>
                <w:rStyle w:val="InternetLink"/>
                <w:rFonts w:eastAsia="Calibri"/>
                <w:lang w:val="lt-LT"/>
              </w:rPr>
              <w:fldChar w:fldCharType="separate"/>
            </w:r>
            <w:r>
              <w:rPr>
                <w:rStyle w:val="InternetLink"/>
                <w:rFonts w:eastAsia="Calibri"/>
                <w:lang w:val="lt-LT"/>
              </w:rPr>
              <w:t>Nuoroda į darbo grupių narių sąrašą</w:t>
            </w:r>
            <w:r>
              <w:rPr>
                <w:rStyle w:val="InternetLink"/>
                <w:rFonts w:eastAsia="Calibri"/>
                <w:lang w:val="lt-LT"/>
              </w:rPr>
              <w:fldChar w:fldCharType="end"/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COST veiklos CA22137 WG3: Single- and multiobjective optimisation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Atstovauti Lietuvos interesus planuojant su darbo grupės veikla susijusių mokslinių tyrimų kryptis</w:t>
            </w:r>
          </w:p>
        </w:tc>
        <w:tc>
          <w:tcPr>
            <w:tcW w:w="3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https://www.hipeac.net/network/#/members/list/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HiPEAC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http://www.globaloptimization.org/organization/advisory-board/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bookmarkStart w:id="3" w:name="divtagdefaultwrapper"/>
            <w:bookmarkEnd w:id="3"/>
            <w:r>
              <w:rPr>
                <w:rFonts w:eastAsia="Calibri" w:ascii="Calibri;Helvetica;sans-serif;He" w:hAnsi="Calibri;Helvetica;sans-serif;He"/>
                <w:color w:val="000000"/>
                <w:sz w:val="24"/>
                <w:lang w:val="lt-LT"/>
              </w:rPr>
              <w:t>Tarptautinė globaliojo optimizavimo draugija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 w:ascii="Calibri;Helvetica;sans-serif;He" w:hAnsi="Calibri;Helvetica;sans-serif;He"/>
                <w:color w:val="000000"/>
                <w:sz w:val="24"/>
                <w:lang w:val="lt-LT"/>
              </w:rPr>
              <w:t>Viceprezidentas</w:t>
            </w:r>
          </w:p>
        </w:tc>
        <w:tc>
          <w:tcPr>
            <w:tcW w:w="3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11. Mokslo populiarinimo veiklos svarbiausių rezultatų sąrašas</w:t>
      </w:r>
    </w:p>
    <w:tbl>
      <w:tblPr>
        <w:tblW w:w="153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6787"/>
        <w:gridCol w:w="3641"/>
        <w:gridCol w:w="4470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Tai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 xml:space="preserve">12. </w:t>
      </w:r>
      <w:r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880"/>
        <w:gridCol w:w="2925"/>
        <w:gridCol w:w="2071"/>
        <w:gridCol w:w="2410"/>
        <w:gridCol w:w="2125"/>
        <w:gridCol w:w="3390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13. MTEP infrastruktūros:</w:t>
      </w:r>
    </w:p>
    <w:tbl>
      <w:tblPr>
        <w:tblW w:w="14737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649"/>
        <w:gridCol w:w="7087"/>
      </w:tblGrid>
      <w:tr>
        <w:trPr>
          <w:trHeight w:val="226" w:hRule="atLeast"/>
        </w:trPr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left="447" w:hanging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left="447" w:hanging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>
          <w:trHeight w:val="199" w:hRule="atLeast"/>
        </w:trPr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left="447" w:hanging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14. Mokslininkų rengimas ir kvalifikacijos kėlimas</w:t>
      </w:r>
    </w:p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 xml:space="preserve">14.1. </w:t>
      </w: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44"/>
        <w:gridCol w:w="2928"/>
        <w:gridCol w:w="1339"/>
        <w:gridCol w:w="1341"/>
        <w:gridCol w:w="1179"/>
        <w:gridCol w:w="1336"/>
        <w:gridCol w:w="2355"/>
      </w:tblGrid>
      <w:tr>
        <w:trPr>
          <w:cantSplit w:val="true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left="-133" w:right="-108" w:hanging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2022-09-30  baigusieji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2023-09-30  baigusieji</w:t>
            </w: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left="-28" w:hanging="0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 xml:space="preserve">2023 m. </w:t>
              <w:br/>
              <w:t>eksternu apgintų disertacijų sk.</w:t>
            </w:r>
          </w:p>
        </w:tc>
      </w:tr>
      <w:tr>
        <w:trPr>
          <w:cantSplit w:val="true"/>
        </w:trPr>
        <w:tc>
          <w:tcPr>
            <w:tcW w:w="6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29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</w:tr>
      <w:tr>
        <w:trPr>
          <w:trHeight w:val="65" w:hRule="atLeast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  <w:tr>
        <w:trPr/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  <w:tr>
        <w:trPr>
          <w:cantSplit w:val="true"/>
        </w:trPr>
        <w:tc>
          <w:tcPr>
            <w:tcW w:w="3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>14.2. Vadovavimas doktorantams 2023 m.</w:t>
      </w:r>
    </w:p>
    <w:tbl>
      <w:tblPr>
        <w:tblW w:w="11788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8"/>
        <w:gridCol w:w="3430"/>
        <w:gridCol w:w="3402"/>
        <w:gridCol w:w="2052"/>
        <w:gridCol w:w="2336"/>
      </w:tblGrid>
      <w:tr>
        <w:trPr>
          <w:trHeight w:val="17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left="-79" w:right="-136" w:hanging="0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left="-116" w:right="-108" w:hanging="0"/>
              <w:jc w:val="center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Doktorantūros forma</w:t>
            </w:r>
            <w:r>
              <w:rPr>
                <w:rFonts w:eastAsia="Times New Roman" w:cs="Calibri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 w:hanging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Saulius Tautvaišas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 w:hanging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 w:hanging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D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 w:hanging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Mindaugas Kepalas</w:t>
            </w:r>
          </w:p>
        </w:tc>
        <w:tc>
          <w:tcPr>
            <w:tcW w:w="2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 w:hanging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 w:hanging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D</w:t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 xml:space="preserve">14.3. Įgijo mokslo laipsnį </w:t>
      </w:r>
    </w:p>
    <w:tbl>
      <w:tblPr>
        <w:tblW w:w="133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3431"/>
        <w:gridCol w:w="1984"/>
        <w:gridCol w:w="1417"/>
        <w:gridCol w:w="5955"/>
      </w:tblGrid>
      <w:tr>
        <w:trPr>
          <w:trHeight w:val="25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left="-79" w:right="-136" w:hanging="0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right="-101" w:hanging="3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firstLine="3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>
        <w:trPr>
          <w:trHeight w:val="272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37" w:hanging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71" w:hanging="228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71" w:hanging="228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71" w:hanging="228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>14.4. Įgijo pedagoginį mokslo vardą</w:t>
      </w:r>
    </w:p>
    <w:tbl>
      <w:tblPr>
        <w:tblW w:w="133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3431"/>
        <w:gridCol w:w="1984"/>
        <w:gridCol w:w="1417"/>
        <w:gridCol w:w="5955"/>
      </w:tblGrid>
      <w:tr>
        <w:trPr>
          <w:trHeight w:val="196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left="-79" w:right="-136" w:hanging="0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left="171" w:hanging="171"/>
              <w:jc w:val="both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left="6" w:right="-101" w:hanging="3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firstLine="3"/>
              <w:rPr>
                <w:rFonts w:eastAsia="Times New Roman" w:cs="Calibri" w:cstheme="minorHAnsi"/>
                <w:b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>
        <w:trPr>
          <w:trHeight w:val="14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71" w:hanging="228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71" w:hanging="228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71" w:hanging="228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71" w:hanging="228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71" w:hanging="228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>15. Tarptautiniai mokslininkų mainai</w:t>
      </w:r>
    </w:p>
    <w:p>
      <w:pPr>
        <w:pStyle w:val="Normal"/>
        <w:keepNext w:val="true"/>
        <w:spacing w:lineRule="auto" w:line="240" w:before="0" w:after="0"/>
        <w:ind w:firstLine="720"/>
        <w:jc w:val="both"/>
        <w:rPr>
          <w:rFonts w:eastAsia="Times New Roman" w:cs="Calibri" w:cstheme="minorHAnsi"/>
          <w:b/>
          <w:b/>
          <w:bCs/>
          <w:sz w:val="20"/>
          <w:szCs w:val="20"/>
          <w:lang w:val="lt-LT"/>
        </w:rPr>
      </w:pP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15.1. Besistažavusių (S) / dirbusių (D) / kitas bendradarbiavimas</w:t>
      </w:r>
      <w:r>
        <w:rPr>
          <w:rFonts w:eastAsia="Times New Roman" w:cs="Calibri" w:cstheme="minorHAnsi"/>
          <w:bCs/>
          <w:sz w:val="20"/>
          <w:szCs w:val="20"/>
          <w:lang w:val="lt-LT"/>
        </w:rPr>
        <w:t xml:space="preserve"> [ne konferencij.] </w:t>
      </w: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(Kt) užsienyje iki 6 mėn.</w:t>
      </w:r>
    </w:p>
    <w:tbl>
      <w:tblPr>
        <w:tblW w:w="13796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694"/>
        <w:gridCol w:w="8231"/>
        <w:gridCol w:w="1677"/>
        <w:gridCol w:w="1193"/>
      </w:tblGrid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Rūšis </w:t>
              <w:br/>
              <w:t>(S, D arba Kt)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Algirdas Lančinskas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La Lagūnos universitetas, Ispanija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Kt.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0,25</w:t>
            </w:r>
          </w:p>
        </w:tc>
      </w:tr>
      <w:tr>
        <w:trPr/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8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Kalabrijos universitetas, Italija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 xml:space="preserve">Kt. 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0,25</w:t>
            </w:r>
          </w:p>
        </w:tc>
      </w:tr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jc w:val="both"/>
        <w:rPr>
          <w:rFonts w:eastAsia="Times New Roman" w:cs="Calibri" w:cstheme="minorHAnsi"/>
          <w:b/>
          <w:b/>
          <w:bCs/>
          <w:sz w:val="20"/>
          <w:szCs w:val="20"/>
          <w:lang w:val="lt-LT"/>
        </w:rPr>
      </w:pP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15.2. Besistažavusių (S) / dirbusių (D) / į DMSTI renginius atvykusių (R) / kitas bendradarbiavimas (Kt) užsieniečių</w:t>
      </w:r>
    </w:p>
    <w:tbl>
      <w:tblPr>
        <w:tblW w:w="136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693"/>
        <w:gridCol w:w="8089"/>
        <w:gridCol w:w="1678"/>
        <w:gridCol w:w="1193"/>
      </w:tblGrid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Rūšis </w:t>
              <w:br/>
              <w:t>(S, D arba Kt)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  <w:tr>
        <w:trPr/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  <w:t xml:space="preserve">16. Kitos veiklos – svarbios </w:t>
      </w:r>
      <w:hyperlink r:id="rId2">
        <w:r>
          <w:rPr>
            <w:rStyle w:val="InternetLink"/>
            <w:b/>
            <w:lang w:val="lt-LT"/>
          </w:rPr>
          <w:t>DMSTI 2023‐2025 m. veiklos plano</w:t>
        </w:r>
      </w:hyperlink>
      <w:r>
        <w:rPr>
          <w:b/>
          <w:lang w:val="lt-LT"/>
        </w:rPr>
        <w:t xml:space="preserve"> vykdymui</w:t>
      </w:r>
    </w:p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Tinklai, kuriuose dalyvaujama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Algirdas Lančinskas. Lietuvos atstovas COST veiklos CA22137 valdymo komitete (ROAR-NET – Randomised Optimisation Algorithms Research Network).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1.2.1 Bendruomenės narių dalyvavimo ekspertų grupėse puoselėjimas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Dalyvavimas įvairiose ekspertų grupėse [Lietuvoje]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DMSTI asmuo (asmenys) | Ekspertų grupės [Lietuvoje] apibūdinimas</w:t>
            </w:r>
          </w:p>
        </w:tc>
      </w:tr>
      <w:tr>
        <w:trPr>
          <w:trHeight w:val="428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Antanas Žilinskas: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Jaunųjų mokslininkų LMA stipendijų skyrimo komiteto (Technikos mokslai) narys, Jaunosios (LMA) akademijos rinkimų (Technikos mokslai) ekspertų komisijos narys.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Visuomenei ar ūkio subjektams suteiktų konsultacijų skaičius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>
        <w:trPr>
          <w:trHeight w:val="428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-114" w:hanging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1.2.3 Ryšių su socialiniais partneriais ir rėmėjais stiprinimas, informavimas ir konsultavimas apie po</w:t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Parengti informaciniai pranešimai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1.2.4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Ūkio subjektų MTEP užsakymai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MTEP užsakymas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1.2.6 Dalyvavimas valstybės, savivaldos, verslo subjektų darbo grupėse, komisijose, komitetuose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Dalyvavimas </w:t>
            </w:r>
            <w:r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DMSTI asmuo (asmenys) | Darbo grupės, komisijos, komiteto apibūdinimas</w:t>
            </w:r>
          </w:p>
        </w:tc>
      </w:tr>
      <w:tr>
        <w:trPr>
          <w:trHeight w:val="428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Julius Žilinskas, LMT GTM komiteto narys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1.3.1 Mokymosi visą gyvenimą veiklos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Surengti seminarai mokytojams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Seminaro mokytojams apibūdinimas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Bendros publikacijos žurnaluose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2.1.2 </w:t>
            </w:r>
            <w:r>
              <w:rPr/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Tarpdisciplininės publikacijos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2.1.7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P. Fernández, A. Lančinskas, B. Pelegrín, J. Žilinskas (2023). A discrete competitive facility location model with proportional and binary rules sequentially applied. Optimization Letters, 17, 867–877. DOI:10.1007/s11590-022-01938-x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320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i/>
                <w:i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i/>
                <w:color w:val="000000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>
        <w:trPr>
          <w:trHeight w:val="18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i/>
                <w:i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i/>
                <w:color w:val="000000"/>
                <w:lang w:val="lt-LT" w:eastAsia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2.1.9 </w:t>
            </w:r>
            <w:r>
              <w:rPr/>
              <w:t>Doktorantų ir podoktorantūros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lang w:val="lt-LT"/>
              </w:rPr>
              <w:t>Doktorantai iš užsienio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Sathuta Piripun Sellapperuma,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Šri Lanka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Išvykos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Mindaugas Kepalas, 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 xml:space="preserve">2023 World Congress on Global Optimization (WCGO 2023) liepos 10-14, Atėnuose, Graikija 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Baigiamųjų darbų skaičius | Praktikų skaičius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Algirdas Lančinskas (apginti 1 magistro darb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a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i, šiuo metu vadovaujama 5 magistriniams darbams ir 1 bakalauro darbui)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Julius Žilinskas (vadovaujama 2 magistriniams darbams)</w:t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3.1.3 </w:t>
            </w:r>
            <w:r>
              <w:rPr/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Į MTEP projektus įtraukti studentai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Publikuoti CA WoS straipsniai su I arba II pakopos studentais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Institute dirbantys podoktorantūros stažuotojai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b/>
          <w:lang w:val="lt-LT"/>
        </w:rPr>
      </w:pPr>
      <w:r>
        <w:rPr/>
      </w:r>
    </w:p>
    <w:sectPr>
      <w:footnotePr>
        <w:numFmt w:val="decimal"/>
      </w:footnote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altName w:val="Helvetica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ind w:left="142" w:hanging="142"/>
        <w:rPr>
          <w:lang w:val="lt-LT"/>
        </w:rPr>
      </w:pPr>
      <w:r>
        <w:rPr>
          <w:rStyle w:val="FootnoteCharacters"/>
        </w:rPr>
        <w:footnoteRef/>
      </w:r>
      <w:r>
        <w:rPr>
          <w:lang w:val="lt-LT"/>
        </w:rPr>
        <w:tab/>
        <w:t xml:space="preserve"> </w:t>
      </w:r>
      <w:r>
        <w:rPr>
          <w:lang w:val="lt-LT"/>
        </w:rPr>
        <w:t>Metinės ataskaitos informacija renkama ir LMT 2023–2027 m. palyginamajam vertinimui; kai konkrečiu klausimu nėra ką įrašyti – atitinkamą lentelę ištrinkite ar palikite neužpildytą.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396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65142"/>
    <w:rPr>
      <w:rFonts w:ascii="Segoe UI" w:hAnsi="Segoe UI" w:cs="Segoe UI"/>
      <w:sz w:val="18"/>
      <w:szCs w:val="18"/>
    </w:rPr>
  </w:style>
  <w:style w:type="character" w:styleId="FootnoteTextChar" w:customStyle="1">
    <w:name w:val="Footnote Text Char"/>
    <w:basedOn w:val="DefaultParagraphFont"/>
    <w:link w:val="Footnote"/>
    <w:uiPriority w:val="99"/>
    <w:semiHidden/>
    <w:qFormat/>
    <w:rsid w:val="001d0a3a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d0a3a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VisitedInternetLink">
    <w:name w:val="FollowedHyperlink"/>
    <w:rPr>
      <w:color w:val="800000"/>
      <w:u w:val="single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6514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ootnote">
    <w:name w:val="Footnote Text"/>
    <w:basedOn w:val="Normal"/>
    <w:link w:val="FootnoteTextChar"/>
    <w:uiPriority w:val="99"/>
    <w:semiHidden/>
    <w:unhideWhenUsed/>
    <w:rsid w:val="001d0a3a"/>
    <w:pPr>
      <w:spacing w:lineRule="auto" w:line="240" w:before="0" w:after="0"/>
    </w:pPr>
    <w:rPr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ii.lt/files/doc/lt/apie_instituta/dmsti_veiklos_planas_2023-2025.pdf" TargetMode="Externa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65422-C265-449E-8AC1-20C046A4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Application>LibreOffice/7.3.7.2$Linux_X86_64 LibreOffice_project/30$Build-2</Application>
  <AppVersion>15.0000</AppVersion>
  <Pages>10</Pages>
  <Words>1659</Words>
  <Characters>12752</Characters>
  <CharactersWithSpaces>14102</CharactersWithSpaces>
  <Paragraphs>344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2023-11-27T14:57:00Z</dcterms:created>
  <dc:creator>Saulius Maskeliunas</dc:creator>
  <dc:description/>
  <dc:language>en-US</dc:language>
  <cp:lastModifiedBy/>
  <cp:lastPrinted>2023-11-27T16:25:00Z</cp:lastPrinted>
  <dcterms:modified xsi:type="dcterms:W3CDTF">2023-12-14T13:36:14Z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