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287" w:rsidRPr="002A6158" w:rsidRDefault="004F19D1" w:rsidP="00585346">
      <w:pPr>
        <w:spacing w:after="0" w:line="240" w:lineRule="auto"/>
        <w:ind w:left="720"/>
        <w:rPr>
          <w:rFonts w:cstheme="minorHAnsi"/>
          <w:color w:val="A6A6A6" w:themeColor="background1" w:themeShade="A6"/>
          <w:lang w:val="lt-LT"/>
        </w:rPr>
      </w:pPr>
      <w:r w:rsidRPr="004F19D1">
        <w:rPr>
          <w:rFonts w:cstheme="minorHAnsi"/>
          <w:sz w:val="24"/>
          <w:u w:val="single"/>
          <w:lang w:val="lt-LT"/>
        </w:rPr>
        <w:t>Edukacinių sistemų grupė</w:t>
      </w:r>
      <w:r>
        <w:rPr>
          <w:rFonts w:cstheme="minorHAnsi"/>
          <w:sz w:val="24"/>
          <w:u w:val="single"/>
          <w:lang w:val="lt-LT"/>
        </w:rPr>
        <w:t>s</w:t>
      </w:r>
      <w:r w:rsidR="008D6D4A" w:rsidRPr="002A6158">
        <w:rPr>
          <w:rFonts w:cstheme="minorHAnsi"/>
          <w:sz w:val="24"/>
          <w:lang w:val="lt-LT"/>
        </w:rPr>
        <w:t>_</w:t>
      </w:r>
      <w:r w:rsidR="008D6D4A" w:rsidRPr="002A6158">
        <w:rPr>
          <w:rFonts w:cstheme="minorHAnsi"/>
          <w:b/>
          <w:sz w:val="24"/>
          <w:lang w:val="lt-LT"/>
        </w:rPr>
        <w:t xml:space="preserve"> </w:t>
      </w:r>
      <w:r w:rsidR="00A35BE5" w:rsidRPr="002A6158">
        <w:rPr>
          <w:rFonts w:cstheme="minorHAnsi"/>
          <w:b/>
          <w:sz w:val="24"/>
          <w:lang w:val="lt-LT"/>
        </w:rPr>
        <w:t xml:space="preserve">2021 m. </w:t>
      </w:r>
      <w:r w:rsidR="008D6D4A" w:rsidRPr="002A6158">
        <w:rPr>
          <w:rFonts w:cstheme="minorHAnsi"/>
          <w:b/>
          <w:sz w:val="24"/>
          <w:lang w:val="lt-LT"/>
        </w:rPr>
        <w:t>svarbiausi MTEP pasiekimai</w:t>
      </w:r>
      <w:r w:rsidR="008D6D4A" w:rsidRPr="002A6158">
        <w:rPr>
          <w:rFonts w:cstheme="minorHAnsi"/>
          <w:b/>
          <w:sz w:val="24"/>
          <w:lang w:val="lt-LT"/>
        </w:rPr>
        <w:br/>
      </w:r>
      <w:r w:rsidR="00204B6B" w:rsidRPr="002A6158">
        <w:rPr>
          <w:rFonts w:cstheme="minorHAnsi"/>
          <w:color w:val="A6A6A6" w:themeColor="background1" w:themeShade="A6"/>
          <w:lang w:val="lt-LT"/>
        </w:rPr>
        <w:t xml:space="preserve">VU MIF </w:t>
      </w:r>
      <w:r w:rsidR="008D6D4A" w:rsidRPr="002A6158">
        <w:rPr>
          <w:rFonts w:cstheme="minorHAnsi"/>
          <w:color w:val="A6A6A6" w:themeColor="background1" w:themeShade="A6"/>
          <w:lang w:val="lt-LT"/>
        </w:rPr>
        <w:t>DMSTI akademinio padalinio pavadinimas</w:t>
      </w:r>
    </w:p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:rsidR="00957287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1. Geriausi mokslo darbai</w:t>
      </w:r>
    </w:p>
    <w:tbl>
      <w:tblPr>
        <w:tblW w:w="150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6259"/>
        <w:gridCol w:w="1671"/>
        <w:gridCol w:w="2067"/>
        <w:gridCol w:w="4478"/>
      </w:tblGrid>
      <w:tr w:rsidR="00585346" w:rsidRPr="002A6158" w:rsidTr="001820A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Bibliografinis aprašas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Akad.</w:t>
            </w:r>
            <w:r w:rsidR="00723C32">
              <w:rPr>
                <w:rFonts w:eastAsia="Calibri" w:cstheme="minorHAnsi"/>
                <w:lang w:val="lt-LT"/>
              </w:rPr>
              <w:t xml:space="preserve"> </w:t>
            </w:r>
            <w:r w:rsidRPr="002A6158">
              <w:rPr>
                <w:rFonts w:eastAsia="Calibri" w:cstheme="minorHAnsi"/>
                <w:lang w:val="lt-LT"/>
              </w:rPr>
              <w:t>padaliniui</w:t>
            </w:r>
            <w:r w:rsidR="00585346" w:rsidRPr="009C277D">
              <w:rPr>
                <w:rFonts w:eastAsia="Calibri" w:cstheme="minorHAnsi"/>
                <w:lang w:val="lt-LT"/>
              </w:rPr>
              <w:t xml:space="preserve"> tenkanti institucijos darbo dalis (%)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ind w:right="17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Nuoroda į mokslo darbą (URL) arba prisegtas dokumentas</w:t>
            </w:r>
          </w:p>
        </w:tc>
      </w:tr>
      <w:tr w:rsidR="00585346" w:rsidRPr="002A6158" w:rsidTr="001820A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9C277D" w:rsidRDefault="00165B4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7A4" w:rsidRPr="000027A4" w:rsidRDefault="000027A4" w:rsidP="000027A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B473E2">
              <w:rPr>
                <w:rFonts w:eastAsia="Calibri" w:cstheme="minorHAnsi"/>
                <w:b/>
                <w:lang w:val="lt-LT"/>
              </w:rPr>
              <w:t>Jevsikova, Tatjana; Stupurienė, Gabrielė; Stumbrienė, Dovilė; Juškevičienė, Anita; Dagienė, Valentina</w:t>
            </w:r>
            <w:r w:rsidRPr="000027A4">
              <w:rPr>
                <w:rFonts w:eastAsia="Calibri" w:cstheme="minorHAnsi"/>
                <w:lang w:val="lt-LT"/>
              </w:rPr>
              <w:t>.</w:t>
            </w:r>
          </w:p>
          <w:p w:rsidR="000027A4" w:rsidRPr="000027A4" w:rsidRDefault="000027A4" w:rsidP="000027A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0027A4">
              <w:rPr>
                <w:rFonts w:eastAsia="Calibri" w:cstheme="minorHAnsi"/>
                <w:lang w:val="lt-LT"/>
              </w:rPr>
              <w:t>Acceptance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of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distance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learning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technologies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by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teachers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: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determining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factors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and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emergency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state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influence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//</w:t>
            </w:r>
          </w:p>
          <w:p w:rsidR="000027A4" w:rsidRPr="000027A4" w:rsidRDefault="000027A4" w:rsidP="000027A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B473E2">
              <w:rPr>
                <w:rFonts w:eastAsia="Calibri" w:cstheme="minorHAnsi"/>
                <w:i/>
                <w:lang w:val="lt-LT"/>
              </w:rPr>
              <w:t>Informatica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. Vilnius : Vilniaus universiteto leidykla. ISSN 0868-4952.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1822-8844. 2021,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. 32,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no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>. 3, p.</w:t>
            </w:r>
          </w:p>
          <w:p w:rsidR="000027A4" w:rsidRPr="000027A4" w:rsidRDefault="000027A4" w:rsidP="000027A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027A4">
              <w:rPr>
                <w:rFonts w:eastAsia="Calibri" w:cstheme="minorHAnsi"/>
                <w:lang w:val="lt-LT"/>
              </w:rPr>
              <w:t xml:space="preserve">517-542. DOI: 10.15388/21-INFOR459. [Zentralblatt MATH (zbMATH);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Scopus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Citation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Index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Expanded</w:t>
            </w:r>
            <w:proofErr w:type="spellEnd"/>
          </w:p>
          <w:p w:rsidR="00585346" w:rsidRPr="009C277D" w:rsidRDefault="000027A4" w:rsidP="000027A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027A4">
              <w:rPr>
                <w:rFonts w:eastAsia="Calibri" w:cstheme="minorHAnsi"/>
                <w:lang w:val="lt-LT"/>
              </w:rPr>
              <w:t>(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Web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of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>)] [Indėlis: 1,000] [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Citav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rod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>.: 2.688 (2020, SCIE)] [M.kr.: N 001,T 007]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9C277D" w:rsidRDefault="00165B4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B47025" w:rsidRDefault="00F8471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8</w:t>
            </w:r>
            <w:r w:rsidR="00165B4B" w:rsidRPr="00B47025">
              <w:rPr>
                <w:rFonts w:eastAsia="Calibri" w:cstheme="minorHAnsi"/>
                <w:lang w:val="lt-LT"/>
              </w:rPr>
              <w:t>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B4B" w:rsidRDefault="00D63B80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7" w:history="1">
              <w:r w:rsidR="00165B4B" w:rsidRPr="007C7EA0">
                <w:rPr>
                  <w:rStyle w:val="Hyperlink"/>
                  <w:rFonts w:eastAsia="Calibri" w:cstheme="minorHAnsi"/>
                  <w:lang w:val="lt-LT"/>
                </w:rPr>
                <w:t>https://informatica.vu.lt/journal/INFORMATICA</w:t>
              </w:r>
            </w:hyperlink>
          </w:p>
          <w:p w:rsidR="00585346" w:rsidRPr="009C277D" w:rsidRDefault="00165B4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65B4B">
              <w:rPr>
                <w:rFonts w:eastAsia="Calibri" w:cstheme="minorHAnsi"/>
                <w:lang w:val="lt-LT"/>
              </w:rPr>
              <w:t>/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article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>/1229/info</w:t>
            </w:r>
          </w:p>
        </w:tc>
      </w:tr>
      <w:tr w:rsidR="004F19D1" w:rsidRPr="002A6158" w:rsidTr="001820A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9C277D" w:rsidRDefault="00165B4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7A4" w:rsidRPr="000027A4" w:rsidRDefault="000027A4" w:rsidP="000027A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B473E2">
              <w:rPr>
                <w:rFonts w:eastAsia="Calibri" w:cstheme="minorHAnsi"/>
                <w:b/>
                <w:lang w:val="lt-LT"/>
              </w:rPr>
              <w:t>Juškevičienė, Anita</w:t>
            </w:r>
            <w:r w:rsidRPr="000027A4">
              <w:rPr>
                <w:rFonts w:eastAsia="Calibri" w:cstheme="minorHAnsi"/>
                <w:lang w:val="lt-LT"/>
              </w:rPr>
              <w:t xml:space="preserve">; Dagienė, Valentina; Dolgopolovas, Vladimiras.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Integrated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activities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i</w:t>
            </w:r>
            <w:r>
              <w:rPr>
                <w:rFonts w:eastAsia="Calibri" w:cstheme="minorHAnsi"/>
                <w:lang w:val="lt-LT"/>
              </w:rPr>
              <w:t xml:space="preserve">n STEM </w:t>
            </w:r>
            <w:proofErr w:type="spellStart"/>
            <w:r>
              <w:rPr>
                <w:rFonts w:eastAsia="Calibri" w:cstheme="minorHAnsi"/>
                <w:lang w:val="lt-LT"/>
              </w:rPr>
              <w:t>environment</w:t>
            </w:r>
            <w:proofErr w:type="spellEnd"/>
            <w:r>
              <w:rPr>
                <w:rFonts w:eastAsia="Calibri" w:cstheme="minorHAnsi"/>
                <w:lang w:val="lt-LT"/>
              </w:rPr>
              <w:t>:</w:t>
            </w:r>
          </w:p>
          <w:p w:rsidR="000027A4" w:rsidRPr="000027A4" w:rsidRDefault="000027A4" w:rsidP="000027A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0027A4">
              <w:rPr>
                <w:rFonts w:eastAsia="Calibri" w:cstheme="minorHAnsi"/>
                <w:lang w:val="lt-LT"/>
              </w:rPr>
              <w:t>methodology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and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implementation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practice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// </w:t>
            </w:r>
            <w:r w:rsidRPr="00B473E2">
              <w:rPr>
                <w:rFonts w:eastAsia="Calibri" w:cstheme="minorHAnsi"/>
                <w:i/>
                <w:lang w:val="lt-LT"/>
              </w:rPr>
              <w:t xml:space="preserve">Computer </w:t>
            </w:r>
            <w:proofErr w:type="spellStart"/>
            <w:r w:rsidRPr="00B473E2">
              <w:rPr>
                <w:rFonts w:eastAsia="Calibri" w:cstheme="minorHAnsi"/>
                <w:i/>
                <w:lang w:val="lt-LT"/>
              </w:rPr>
              <w:t>applications</w:t>
            </w:r>
            <w:proofErr w:type="spellEnd"/>
            <w:r w:rsidRPr="00B473E2">
              <w:rPr>
                <w:rFonts w:eastAsia="Calibri" w:cstheme="minorHAnsi"/>
                <w:i/>
                <w:lang w:val="lt-LT"/>
              </w:rPr>
              <w:t xml:space="preserve"> in </w:t>
            </w:r>
            <w:proofErr w:type="spellStart"/>
            <w:r w:rsidRPr="00B473E2">
              <w:rPr>
                <w:rFonts w:eastAsia="Calibri" w:cstheme="minorHAnsi"/>
                <w:i/>
                <w:lang w:val="lt-LT"/>
              </w:rPr>
              <w:t>engineering</w:t>
            </w:r>
            <w:proofErr w:type="spellEnd"/>
            <w:r w:rsidRPr="00B473E2">
              <w:rPr>
                <w:rFonts w:eastAsia="Calibri" w:cstheme="minorHAnsi"/>
                <w:i/>
                <w:lang w:val="lt-LT"/>
              </w:rPr>
              <w:t xml:space="preserve"> </w:t>
            </w:r>
            <w:proofErr w:type="spellStart"/>
            <w:r w:rsidRPr="00B473E2">
              <w:rPr>
                <w:rFonts w:eastAsia="Calibri" w:cstheme="minorHAnsi"/>
                <w:i/>
                <w:lang w:val="lt-LT"/>
              </w:rPr>
              <w:t>education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Hoboken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: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Wiley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>.</w:t>
            </w:r>
          </w:p>
          <w:p w:rsidR="000027A4" w:rsidRPr="000027A4" w:rsidRDefault="000027A4" w:rsidP="000027A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027A4">
              <w:rPr>
                <w:rFonts w:eastAsia="Calibri" w:cstheme="minorHAnsi"/>
                <w:lang w:val="lt-LT"/>
              </w:rPr>
              <w:t xml:space="preserve">ISSN 1061-3773.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1099-0542. 2021,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. 29,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no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>. 1, p. 209-228. DOI: 10.1002/cae.22324. [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Citation</w:t>
            </w:r>
            <w:proofErr w:type="spellEnd"/>
          </w:p>
          <w:p w:rsidR="004F19D1" w:rsidRPr="009C277D" w:rsidRDefault="000027A4" w:rsidP="000027A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0027A4">
              <w:rPr>
                <w:rFonts w:eastAsia="Calibri" w:cstheme="minorHAnsi"/>
                <w:lang w:val="lt-LT"/>
              </w:rPr>
              <w:t>Index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Expanded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(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Web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 of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);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Scopus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>] [Indėlis: 0,334] [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Citav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0027A4">
              <w:rPr>
                <w:rFonts w:eastAsia="Calibri" w:cstheme="minorHAnsi"/>
                <w:lang w:val="lt-LT"/>
              </w:rPr>
              <w:t>rod</w:t>
            </w:r>
            <w:proofErr w:type="spellEnd"/>
            <w:r w:rsidRPr="000027A4">
              <w:rPr>
                <w:rFonts w:eastAsia="Calibri" w:cstheme="minorHAnsi"/>
                <w:lang w:val="lt-LT"/>
              </w:rPr>
              <w:t>.: 1.532 (2020, SCIE)] [M.kr.: S 007]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9C277D" w:rsidRDefault="00851FCC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B47025" w:rsidRDefault="00851FCC" w:rsidP="00851FC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B4B" w:rsidRDefault="00D63B80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8" w:history="1">
              <w:r w:rsidR="00165B4B" w:rsidRPr="007C7EA0">
                <w:rPr>
                  <w:rStyle w:val="Hyperlink"/>
                  <w:rFonts w:eastAsia="Calibri" w:cstheme="minorHAnsi"/>
                  <w:lang w:val="lt-LT"/>
                </w:rPr>
                <w:t>https://onlinelibrary.wiley.com/doi/epdf</w:t>
              </w:r>
            </w:hyperlink>
          </w:p>
          <w:p w:rsidR="004F19D1" w:rsidRPr="009C277D" w:rsidRDefault="00165B4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65B4B">
              <w:rPr>
                <w:rFonts w:eastAsia="Calibri" w:cstheme="minorHAnsi"/>
                <w:lang w:val="lt-LT"/>
              </w:rPr>
              <w:t>/10.1002/cae.22324</w:t>
            </w:r>
          </w:p>
        </w:tc>
      </w:tr>
      <w:tr w:rsidR="004F19D1" w:rsidRPr="002A6158" w:rsidTr="001820A4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9C277D" w:rsidRDefault="00165B4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7A4" w:rsidRPr="00165B4B" w:rsidRDefault="000027A4" w:rsidP="000027A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B473E2">
              <w:rPr>
                <w:rFonts w:eastAsia="Calibri" w:cstheme="minorHAnsi"/>
                <w:b/>
                <w:lang w:val="lt-LT"/>
              </w:rPr>
              <w:t>Juškevičienė, Anita; Stupurienė, Gabrielė; Jevsikova, Tatjana</w:t>
            </w:r>
            <w:r w:rsidRPr="00165B4B">
              <w:rPr>
                <w:rFonts w:eastAsia="Calibri" w:cstheme="minorHAnsi"/>
                <w:lang w:val="lt-LT"/>
              </w:rPr>
              <w:t xml:space="preserve">. Computational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thinking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development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through</w:t>
            </w:r>
            <w:proofErr w:type="spellEnd"/>
          </w:p>
          <w:p w:rsidR="000027A4" w:rsidRPr="00165B4B" w:rsidRDefault="000027A4" w:rsidP="000027A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proofErr w:type="spellStart"/>
            <w:r w:rsidRPr="00165B4B">
              <w:rPr>
                <w:rFonts w:eastAsia="Calibri" w:cstheme="minorHAnsi"/>
                <w:lang w:val="lt-LT"/>
              </w:rPr>
              <w:t>physical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computing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activities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in STEAM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education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// </w:t>
            </w:r>
            <w:r w:rsidRPr="00B473E2">
              <w:rPr>
                <w:rFonts w:eastAsia="Calibri" w:cstheme="minorHAnsi"/>
                <w:i/>
                <w:lang w:val="lt-LT"/>
              </w:rPr>
              <w:t xml:space="preserve">Computer </w:t>
            </w:r>
            <w:proofErr w:type="spellStart"/>
            <w:r w:rsidRPr="00B473E2">
              <w:rPr>
                <w:rFonts w:eastAsia="Calibri" w:cstheme="minorHAnsi"/>
                <w:i/>
                <w:lang w:val="lt-LT"/>
              </w:rPr>
              <w:t>applications</w:t>
            </w:r>
            <w:proofErr w:type="spellEnd"/>
            <w:r w:rsidRPr="00B473E2">
              <w:rPr>
                <w:rFonts w:eastAsia="Calibri" w:cstheme="minorHAnsi"/>
                <w:i/>
                <w:lang w:val="lt-LT"/>
              </w:rPr>
              <w:t xml:space="preserve"> in </w:t>
            </w:r>
            <w:proofErr w:type="spellStart"/>
            <w:r w:rsidRPr="00B473E2">
              <w:rPr>
                <w:rFonts w:eastAsia="Calibri" w:cstheme="minorHAnsi"/>
                <w:i/>
                <w:lang w:val="lt-LT"/>
              </w:rPr>
              <w:t>engineering</w:t>
            </w:r>
            <w:proofErr w:type="spellEnd"/>
            <w:r w:rsidRPr="00B473E2">
              <w:rPr>
                <w:rFonts w:eastAsia="Calibri" w:cstheme="minorHAnsi"/>
                <w:i/>
                <w:lang w:val="lt-LT"/>
              </w:rPr>
              <w:t xml:space="preserve"> </w:t>
            </w:r>
            <w:proofErr w:type="spellStart"/>
            <w:r w:rsidRPr="00B473E2">
              <w:rPr>
                <w:rFonts w:eastAsia="Calibri" w:cstheme="minorHAnsi"/>
                <w:i/>
                <w:lang w:val="lt-LT"/>
              </w:rPr>
              <w:t>education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: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Special</w:t>
            </w:r>
            <w:proofErr w:type="spellEnd"/>
          </w:p>
          <w:p w:rsidR="000027A4" w:rsidRPr="00165B4B" w:rsidRDefault="000027A4" w:rsidP="000027A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proofErr w:type="spellStart"/>
            <w:r w:rsidRPr="00165B4B">
              <w:rPr>
                <w:rFonts w:eastAsia="Calibri" w:cstheme="minorHAnsi"/>
                <w:lang w:val="lt-LT"/>
              </w:rPr>
              <w:t>Issue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: Computational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thinking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: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Enhancing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STEAM and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engineering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education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,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from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theory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to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practice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Hoboken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:</w:t>
            </w:r>
          </w:p>
          <w:p w:rsidR="000027A4" w:rsidRPr="00165B4B" w:rsidRDefault="000027A4" w:rsidP="000027A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proofErr w:type="spellStart"/>
            <w:r w:rsidRPr="00165B4B">
              <w:rPr>
                <w:rFonts w:eastAsia="Calibri" w:cstheme="minorHAnsi"/>
                <w:lang w:val="lt-LT"/>
              </w:rPr>
              <w:t>Wiley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. ISSN 1061-3773.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1099-0542. 2021,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. 29,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iss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>. 1, p. 175-190. DOI: 10.1002/cae.22365.</w:t>
            </w:r>
          </w:p>
          <w:p w:rsidR="000027A4" w:rsidRPr="00165B4B" w:rsidRDefault="000027A4" w:rsidP="000027A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165B4B">
              <w:rPr>
                <w:rFonts w:eastAsia="Calibri" w:cstheme="minorHAnsi"/>
                <w:lang w:val="lt-LT"/>
              </w:rPr>
              <w:t>[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Compendex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; INSPEC;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Scopus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Citation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Index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Expanded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(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Web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of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Science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>)] [Ind</w:t>
            </w:r>
            <w:r w:rsidRPr="00165B4B">
              <w:rPr>
                <w:rFonts w:eastAsia="Calibri" w:cstheme="minorHAnsi" w:hint="eastAsia"/>
                <w:lang w:val="lt-LT"/>
              </w:rPr>
              <w:t>ė</w:t>
            </w:r>
            <w:r w:rsidRPr="00165B4B">
              <w:rPr>
                <w:rFonts w:eastAsia="Calibri" w:cstheme="minorHAnsi"/>
                <w:lang w:val="lt-LT"/>
              </w:rPr>
              <w:t>lis: 1,000] [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Citav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rod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>.:</w:t>
            </w:r>
          </w:p>
          <w:p w:rsidR="004F19D1" w:rsidRPr="009C277D" w:rsidRDefault="000027A4" w:rsidP="000027A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65B4B">
              <w:rPr>
                <w:rFonts w:eastAsia="Calibri" w:cstheme="minorHAnsi"/>
                <w:lang w:val="lt-LT"/>
              </w:rPr>
              <w:t>1.532 (2020, SCIE)] [M.kr.: S 007,T 007,N 009]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9C277D" w:rsidRDefault="00165B4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B47025" w:rsidRDefault="00165B4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B47025"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B4B" w:rsidRDefault="00D63B80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9" w:history="1">
              <w:r w:rsidR="00165B4B" w:rsidRPr="007C7EA0">
                <w:rPr>
                  <w:rStyle w:val="Hyperlink"/>
                  <w:rFonts w:eastAsia="Calibri" w:cstheme="minorHAnsi"/>
                  <w:lang w:val="lt-LT"/>
                </w:rPr>
                <w:t>https://onlinelibrary.wiley.com/doi/abs</w:t>
              </w:r>
            </w:hyperlink>
          </w:p>
          <w:p w:rsidR="004F19D1" w:rsidRPr="009C277D" w:rsidRDefault="00165B4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65B4B">
              <w:rPr>
                <w:rFonts w:eastAsia="Calibri" w:cstheme="minorHAnsi"/>
                <w:lang w:val="lt-LT"/>
              </w:rPr>
              <w:t>/10.1002/cae.22365</w:t>
            </w:r>
          </w:p>
        </w:tc>
      </w:tr>
    </w:tbl>
    <w:p w:rsidR="009C277D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:rsidR="00B47025" w:rsidRDefault="00B47025" w:rsidP="00957287">
      <w:pPr>
        <w:spacing w:after="0" w:line="240" w:lineRule="auto"/>
        <w:rPr>
          <w:rFonts w:cstheme="minorHAnsi"/>
          <w:b/>
          <w:lang w:val="lt-LT"/>
        </w:rPr>
      </w:pPr>
    </w:p>
    <w:p w:rsidR="00B47025" w:rsidRPr="002A6158" w:rsidRDefault="00B47025" w:rsidP="00957287">
      <w:pPr>
        <w:spacing w:after="0" w:line="240" w:lineRule="auto"/>
        <w:rPr>
          <w:rFonts w:cstheme="minorHAnsi"/>
          <w:b/>
          <w:lang w:val="lt-LT"/>
        </w:rPr>
      </w:pPr>
    </w:p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lastRenderedPageBreak/>
        <w:t>2. Geriausi konferencijose užsienyje skaityti pranešimai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746"/>
        <w:gridCol w:w="1722"/>
        <w:gridCol w:w="1214"/>
        <w:gridCol w:w="1222"/>
        <w:gridCol w:w="3102"/>
        <w:gridCol w:w="3157"/>
        <w:gridCol w:w="3305"/>
      </w:tblGrid>
      <w:tr w:rsidR="000B6DB8" w:rsidRPr="002A6158" w:rsidTr="001820A4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Šalis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Vardas, pavardė (pranešėjas arba pranešimo bendraautoriai)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 xml:space="preserve">Akad. </w:t>
            </w:r>
            <w:r w:rsidR="002A6158" w:rsidRPr="002A6158">
              <w:rPr>
                <w:rFonts w:eastAsia="Calibri" w:cstheme="minorHAnsi"/>
                <w:lang w:val="lt-LT"/>
              </w:rPr>
              <w:t>p</w:t>
            </w:r>
            <w:r w:rsidRPr="002A6158">
              <w:rPr>
                <w:rFonts w:eastAsia="Calibri" w:cstheme="minorHAnsi"/>
                <w:lang w:val="lt-LT"/>
              </w:rPr>
              <w:t>ada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2A6158">
              <w:rPr>
                <w:rFonts w:eastAsia="Calibri" w:cstheme="minorHAnsi"/>
                <w:lang w:val="lt-LT"/>
              </w:rPr>
              <w:t>liniui</w:t>
            </w:r>
            <w:r w:rsidRPr="009C277D">
              <w:rPr>
                <w:rFonts w:eastAsia="Calibri" w:cstheme="minorHAnsi"/>
                <w:lang w:val="lt-LT"/>
              </w:rPr>
              <w:t xml:space="preserve"> tenka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9C277D">
              <w:rPr>
                <w:rFonts w:eastAsia="Calibri" w:cstheme="minorHAnsi"/>
                <w:lang w:val="lt-LT"/>
              </w:rPr>
              <w:t>nti instituci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9C277D">
              <w:rPr>
                <w:rFonts w:eastAsia="Calibri" w:cstheme="minorHAnsi"/>
                <w:lang w:val="lt-LT"/>
              </w:rPr>
              <w:t>jos darbo dalis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left="-130" w:right="-8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Nuorod</w:t>
            </w:r>
            <w:r w:rsidR="001820A4" w:rsidRPr="002A6158">
              <w:rPr>
                <w:rFonts w:eastAsia="Calibri" w:cstheme="minorHAnsi"/>
                <w:lang w:val="lt-LT"/>
              </w:rPr>
              <w:t>a į konferencijos puslapį (URL)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Konferencijos pavadinimas</w:t>
            </w:r>
            <w:r w:rsidR="001820A4" w:rsidRPr="002A6158">
              <w:rPr>
                <w:rFonts w:eastAsia="Calibri" w:cstheme="minorHAnsi"/>
                <w:lang w:val="lt-LT"/>
              </w:rPr>
              <w:t xml:space="preserve"> </w:t>
            </w:r>
            <w:r w:rsidR="001820A4" w:rsidRPr="009C277D">
              <w:rPr>
                <w:rFonts w:eastAsia="Calibri" w:cstheme="minorHAnsi"/>
                <w:lang w:val="lt-LT"/>
              </w:rPr>
              <w:t>(originalo kalba)</w:t>
            </w:r>
            <w:r w:rsidRPr="009C277D">
              <w:rPr>
                <w:rFonts w:eastAsia="Calibri" w:cstheme="minorHAnsi"/>
                <w:lang w:val="lt-LT"/>
              </w:rPr>
              <w:t xml:space="preserve"> ir laikas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right="17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 xml:space="preserve">Pranešimo pavadinimas </w:t>
            </w:r>
            <w:r w:rsidR="001820A4" w:rsidRPr="002A6158">
              <w:rPr>
                <w:rFonts w:eastAsia="Calibri" w:cstheme="minorHAnsi"/>
                <w:lang w:val="lt-LT"/>
              </w:rPr>
              <w:br/>
            </w:r>
            <w:r w:rsidRPr="009C277D">
              <w:rPr>
                <w:rFonts w:eastAsia="Calibri" w:cstheme="minorHAnsi"/>
                <w:lang w:val="lt-LT"/>
              </w:rPr>
              <w:t>(originalo kalba)</w:t>
            </w:r>
          </w:p>
        </w:tc>
      </w:tr>
      <w:tr w:rsidR="000B6DB8" w:rsidRPr="002A6158" w:rsidTr="001820A4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165B4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165B4B" w:rsidP="00924BB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NL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165B4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65B4B">
              <w:rPr>
                <w:rFonts w:eastAsia="Calibri" w:cstheme="minorHAnsi"/>
                <w:lang w:val="lt-LT"/>
              </w:rPr>
              <w:t>Stupurienė, Gabrielė; Juškevičienė, Anita; Jevsikova, Tatjana; Dagienė, Valentina; Meškauskienė, Asta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851FCC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851FCC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D63B80" w:rsidP="00924BB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0" w:history="1">
              <w:r w:rsidR="00165B4B" w:rsidRPr="007C7EA0">
                <w:rPr>
                  <w:rStyle w:val="Hyperlink"/>
                  <w:rFonts w:eastAsia="Calibri" w:cstheme="minorHAnsi"/>
                  <w:lang w:val="lt-LT"/>
                </w:rPr>
                <w:t>https://issep2021</w:t>
              </w:r>
            </w:hyperlink>
            <w:r w:rsidR="00924BB4">
              <w:rPr>
                <w:rStyle w:val="Hyperlink"/>
                <w:rFonts w:eastAsia="Calibri" w:cstheme="minorHAnsi"/>
                <w:lang w:val="lt-LT"/>
              </w:rPr>
              <w:br/>
            </w:r>
            <w:r w:rsidR="00165B4B" w:rsidRPr="00CF2BFE">
              <w:rPr>
                <w:rStyle w:val="Hyperlink"/>
                <w:lang w:val="lt-LT"/>
              </w:rPr>
              <w:t>.science.ru.nl/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B4B" w:rsidRPr="00165B4B" w:rsidRDefault="00165B4B" w:rsidP="00165B4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165B4B">
              <w:rPr>
                <w:rFonts w:eastAsia="Calibri" w:cstheme="minorHAnsi"/>
                <w:lang w:val="lt-LT"/>
              </w:rPr>
              <w:t>Informatics in schools. Rethinking</w:t>
            </w:r>
          </w:p>
          <w:p w:rsidR="00165B4B" w:rsidRPr="00165B4B" w:rsidRDefault="00165B4B" w:rsidP="00165B4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165B4B">
              <w:rPr>
                <w:rFonts w:eastAsia="Calibri" w:cstheme="minorHAnsi"/>
                <w:lang w:val="lt-LT"/>
              </w:rPr>
              <w:t>computing education: international conference on informatics in schools: situation, evolution, and perspectives,</w:t>
            </w:r>
          </w:p>
          <w:p w:rsidR="000B6DB8" w:rsidRPr="009C277D" w:rsidRDefault="00165B4B" w:rsidP="00924BB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65B4B">
              <w:rPr>
                <w:rFonts w:eastAsia="Calibri" w:cstheme="minorHAnsi"/>
                <w:lang w:val="lt-LT"/>
              </w:rPr>
              <w:t>ISSEP 2021</w:t>
            </w:r>
            <w:r>
              <w:rPr>
                <w:rFonts w:eastAsia="Calibri" w:cstheme="minorHAnsi"/>
                <w:lang w:val="lt-LT"/>
              </w:rPr>
              <w:t xml:space="preserve">, </w:t>
            </w:r>
            <w:r w:rsidR="00924BB4">
              <w:rPr>
                <w:rFonts w:eastAsia="Calibri" w:cstheme="minorHAnsi"/>
                <w:lang w:val="lt-LT"/>
              </w:rPr>
              <w:t>l</w:t>
            </w:r>
            <w:r>
              <w:rPr>
                <w:rFonts w:eastAsia="Calibri" w:cstheme="minorHAnsi"/>
                <w:lang w:val="lt-LT"/>
              </w:rPr>
              <w:t>apkričio 3-5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9C277D" w:rsidRDefault="00165B4B" w:rsidP="00165B4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proofErr w:type="spellStart"/>
            <w:r w:rsidRPr="00165B4B">
              <w:rPr>
                <w:rFonts w:eastAsia="Calibri" w:cstheme="minorHAnsi"/>
                <w:lang w:val="lt-LT"/>
              </w:rPr>
              <w:t>Girls</w:t>
            </w:r>
            <w:proofErr w:type="spellEnd"/>
            <w:r w:rsidRPr="00165B4B">
              <w:rPr>
                <w:rFonts w:eastAsia="Calibri" w:cstheme="minorHAnsi" w:hint="eastAsia"/>
                <w:lang w:val="lt-LT"/>
              </w:rPr>
              <w:t>’</w:t>
            </w:r>
            <w:r>
              <w:rPr>
                <w:rFonts w:eastAsia="Calibri" w:cstheme="minorHAnsi" w:hint="eastAsia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summer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school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for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physical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computing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: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methodology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and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acceptance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issues</w:t>
            </w:r>
            <w:proofErr w:type="spellEnd"/>
          </w:p>
        </w:tc>
      </w:tr>
      <w:tr w:rsidR="009B1BE1" w:rsidRPr="002A6158" w:rsidTr="001820A4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BE1" w:rsidRDefault="00924BB4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BE1" w:rsidRDefault="00924BB4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NL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BE1" w:rsidRPr="00165B4B" w:rsidRDefault="00924BB4" w:rsidP="00924BB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Šiaulys, Tomas; </w:t>
            </w:r>
            <w:r w:rsidR="009B1BE1">
              <w:rPr>
                <w:rFonts w:eastAsia="Calibri" w:cstheme="minorHAnsi"/>
                <w:lang w:val="lt-LT"/>
              </w:rPr>
              <w:t>Dagienė</w:t>
            </w:r>
            <w:r>
              <w:rPr>
                <w:rFonts w:eastAsia="Calibri" w:cstheme="minorHAnsi"/>
                <w:lang w:val="lt-LT"/>
              </w:rPr>
              <w:t>, Valentina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BE1" w:rsidRDefault="00924BB4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BE1" w:rsidRDefault="00924BB4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BE1" w:rsidRDefault="00D63B80" w:rsidP="00924BB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1" w:history="1">
              <w:r w:rsidR="00924BB4" w:rsidRPr="007C7EA0">
                <w:rPr>
                  <w:rStyle w:val="Hyperlink"/>
                  <w:rFonts w:eastAsia="Calibri" w:cstheme="minorHAnsi"/>
                  <w:lang w:val="lt-LT"/>
                </w:rPr>
                <w:t>https://issep2021</w:t>
              </w:r>
            </w:hyperlink>
            <w:r w:rsidR="00924BB4">
              <w:rPr>
                <w:rStyle w:val="Hyperlink"/>
                <w:rFonts w:eastAsia="Calibri" w:cstheme="minorHAnsi"/>
                <w:lang w:val="lt-LT"/>
              </w:rPr>
              <w:br/>
            </w:r>
            <w:r w:rsidR="00924BB4" w:rsidRPr="00CF2BFE">
              <w:rPr>
                <w:rStyle w:val="Hyperlink"/>
                <w:lang w:val="lt-LT"/>
              </w:rPr>
              <w:t>.science.ru.nl/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4BB4" w:rsidRPr="00165B4B" w:rsidRDefault="00924BB4" w:rsidP="00924BB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165B4B">
              <w:rPr>
                <w:rFonts w:eastAsia="Calibri" w:cstheme="minorHAnsi"/>
                <w:lang w:val="lt-LT"/>
              </w:rPr>
              <w:t xml:space="preserve">Informatics in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schools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Rethinking</w:t>
            </w:r>
            <w:proofErr w:type="spellEnd"/>
          </w:p>
          <w:p w:rsidR="00924BB4" w:rsidRPr="00165B4B" w:rsidRDefault="00924BB4" w:rsidP="00924BB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proofErr w:type="spellStart"/>
            <w:r w:rsidRPr="00165B4B">
              <w:rPr>
                <w:rFonts w:eastAsia="Calibri" w:cstheme="minorHAnsi"/>
                <w:lang w:val="lt-LT"/>
              </w:rPr>
              <w:t>computing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education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: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international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conference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on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informatics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 in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schools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: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situation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,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evolution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 xml:space="preserve">, and </w:t>
            </w:r>
            <w:proofErr w:type="spellStart"/>
            <w:r w:rsidRPr="00165B4B">
              <w:rPr>
                <w:rFonts w:eastAsia="Calibri" w:cstheme="minorHAnsi"/>
                <w:lang w:val="lt-LT"/>
              </w:rPr>
              <w:t>perspectives</w:t>
            </w:r>
            <w:proofErr w:type="spellEnd"/>
            <w:r w:rsidRPr="00165B4B">
              <w:rPr>
                <w:rFonts w:eastAsia="Calibri" w:cstheme="minorHAnsi"/>
                <w:lang w:val="lt-LT"/>
              </w:rPr>
              <w:t>,</w:t>
            </w:r>
          </w:p>
          <w:p w:rsidR="009B1BE1" w:rsidRPr="00165B4B" w:rsidRDefault="00924BB4" w:rsidP="00924BB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165B4B">
              <w:rPr>
                <w:rFonts w:eastAsia="Calibri" w:cstheme="minorHAnsi"/>
                <w:lang w:val="lt-LT"/>
              </w:rPr>
              <w:t>ISSEP 2021</w:t>
            </w:r>
            <w:r>
              <w:rPr>
                <w:rFonts w:eastAsia="Calibri" w:cstheme="minorHAnsi"/>
                <w:lang w:val="lt-LT"/>
              </w:rPr>
              <w:t>, lapkričio 3-5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BE1" w:rsidRPr="00165B4B" w:rsidRDefault="001B72A1" w:rsidP="001B72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1B72A1">
              <w:rPr>
                <w:rFonts w:eastAsia="Calibri" w:cstheme="minorHAnsi"/>
                <w:lang w:val="lt-LT"/>
              </w:rPr>
              <w:t>Towards Classification of Interactive Non-programming Tasks Promoting Computational Thinking</w:t>
            </w:r>
          </w:p>
        </w:tc>
      </w:tr>
      <w:tr w:rsidR="003769AA" w:rsidRPr="002A6158" w:rsidTr="001820A4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9AA" w:rsidRDefault="003769AA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9AA" w:rsidRDefault="001B1667" w:rsidP="001B166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TH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9AA" w:rsidRDefault="001B1667" w:rsidP="00924BB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9AA" w:rsidRDefault="001B166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9AA" w:rsidRDefault="001B166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667" w:rsidRDefault="001B1667" w:rsidP="001B1667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12" w:history="1">
              <w:r w:rsidRPr="00CF3678">
                <w:rPr>
                  <w:rStyle w:val="Hyperlink"/>
                </w:rPr>
                <w:t>https://stem.psu.ac.th/keynote-speakers/</w:t>
              </w:r>
            </w:hyperlink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9AA" w:rsidRPr="00165B4B" w:rsidRDefault="001B1667" w:rsidP="00924BB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SEA-STEM International Conference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9AA" w:rsidRPr="001B72A1" w:rsidRDefault="001B1667" w:rsidP="001B72A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Bebras: Computational Thinking </w:t>
            </w:r>
            <w:proofErr w:type="spellStart"/>
            <w:r>
              <w:rPr>
                <w:rFonts w:eastAsia="Calibri" w:cstheme="minorHAnsi"/>
                <w:lang w:val="lt-LT"/>
              </w:rPr>
              <w:t>for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All</w:t>
            </w:r>
          </w:p>
        </w:tc>
      </w:tr>
    </w:tbl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3. </w:t>
      </w:r>
      <w:r w:rsidR="001820A4" w:rsidRPr="002A6158">
        <w:rPr>
          <w:rFonts w:cstheme="minorHAnsi"/>
          <w:b/>
          <w:lang w:val="lt-LT"/>
        </w:rPr>
        <w:t>S</w:t>
      </w:r>
      <w:r w:rsidRPr="002A6158">
        <w:rPr>
          <w:rFonts w:cstheme="minorHAnsi"/>
          <w:b/>
          <w:lang w:val="lt-LT"/>
        </w:rPr>
        <w:t>varbiausi gaut</w:t>
      </w:r>
      <w:r w:rsidR="00585346" w:rsidRPr="002A6158">
        <w:rPr>
          <w:rFonts w:cstheme="minorHAnsi"/>
          <w:b/>
          <w:lang w:val="lt-LT"/>
        </w:rPr>
        <w:t>i</w:t>
      </w:r>
      <w:r w:rsidRPr="002A6158">
        <w:rPr>
          <w:rFonts w:cstheme="minorHAnsi"/>
          <w:b/>
          <w:lang w:val="lt-LT"/>
        </w:rPr>
        <w:t xml:space="preserve"> nacionalini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ir</w:t>
      </w:r>
      <w:r w:rsidR="00585346" w:rsidRPr="002A6158">
        <w:rPr>
          <w:rFonts w:cstheme="minorHAnsi"/>
          <w:b/>
          <w:lang w:val="lt-LT"/>
        </w:rPr>
        <w:t xml:space="preserve"> (ar)</w:t>
      </w:r>
      <w:r w:rsidRPr="002A6158">
        <w:rPr>
          <w:rFonts w:cstheme="minorHAnsi"/>
          <w:b/>
          <w:lang w:val="lt-LT"/>
        </w:rPr>
        <w:t xml:space="preserve"> tarptautini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apdovanojim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už MTEP veiklą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1821"/>
        <w:gridCol w:w="2006"/>
        <w:gridCol w:w="2388"/>
        <w:gridCol w:w="3686"/>
        <w:gridCol w:w="4536"/>
      </w:tblGrid>
      <w:tr w:rsidR="001820A4" w:rsidRPr="002A6158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left="-108"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apdovanojimo dalis (0.0000-1)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1820A4" w:rsidP="00723C32">
            <w:pPr>
              <w:widowControl w:val="0"/>
              <w:suppressAutoHyphens/>
              <w:autoSpaceDN w:val="0"/>
              <w:spacing w:after="0" w:line="240" w:lineRule="auto"/>
              <w:ind w:left="-129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Akadem</w:t>
            </w:r>
            <w:r w:rsidR="00723C32">
              <w:rPr>
                <w:rFonts w:eastAsia="Calibri" w:cstheme="minorHAnsi"/>
                <w:lang w:val="lt-LT"/>
              </w:rPr>
              <w:t>iniam</w:t>
            </w:r>
            <w:r w:rsidRPr="002A6158">
              <w:rPr>
                <w:rFonts w:eastAsia="Calibri" w:cstheme="minorHAnsi"/>
                <w:lang w:val="lt-LT"/>
              </w:rPr>
              <w:t xml:space="preserve"> padaliniui</w:t>
            </w:r>
            <w:r w:rsidRPr="009C277D">
              <w:rPr>
                <w:rFonts w:eastAsia="Calibri" w:cstheme="minorHAnsi"/>
                <w:lang w:val="lt-LT"/>
              </w:rPr>
              <w:t xml:space="preserve"> </w:t>
            </w:r>
            <w:r w:rsidR="009C277D" w:rsidRPr="009C277D">
              <w:rPr>
                <w:rFonts w:eastAsia="Calibri" w:cstheme="minorHAnsi"/>
                <w:lang w:val="lt-LT"/>
              </w:rPr>
              <w:t>tenkanti institucijos apdovanojimo dalis (%)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Apdovanojimo pavadinimas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Kita informacija apie apdovanojimą</w:t>
            </w:r>
          </w:p>
        </w:tc>
      </w:tr>
      <w:tr w:rsidR="0003674E" w:rsidRPr="002A6158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03674E">
            <w:pPr>
              <w:widowControl w:val="0"/>
              <w:suppressAutoHyphens/>
              <w:autoSpaceDN w:val="0"/>
              <w:spacing w:after="0" w:line="240" w:lineRule="auto"/>
              <w:ind w:right="-86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:rsidR="00E715B5" w:rsidRPr="002A6158" w:rsidRDefault="00E715B5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4. MTEP ir kitų programų projektai</w:t>
      </w:r>
    </w:p>
    <w:tbl>
      <w:tblPr>
        <w:tblW w:w="150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118"/>
        <w:gridCol w:w="4678"/>
        <w:gridCol w:w="992"/>
        <w:gridCol w:w="709"/>
        <w:gridCol w:w="709"/>
        <w:gridCol w:w="1459"/>
        <w:gridCol w:w="1350"/>
        <w:gridCol w:w="1611"/>
      </w:tblGrid>
      <w:tr w:rsidR="001820A4" w:rsidRPr="002A6158" w:rsidTr="00CF184B">
        <w:trPr>
          <w:cantSplit/>
          <w:trHeight w:val="23"/>
        </w:trPr>
        <w:tc>
          <w:tcPr>
            <w:tcW w:w="436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Eil. Nr.</w:t>
            </w:r>
          </w:p>
        </w:tc>
        <w:tc>
          <w:tcPr>
            <w:tcW w:w="311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Programos, paprogramės (jeigu yra) ar veiklos krypties pavadinimas ir trumpinys</w:t>
            </w:r>
          </w:p>
        </w:tc>
        <w:tc>
          <w:tcPr>
            <w:tcW w:w="467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Projekto sutartis (pavadinimas, data, numeris)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ind w:left="-108" w:right="-105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MTEP projektas (taip/ne)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Projekto vykdymo laikotarpis</w:t>
            </w:r>
          </w:p>
        </w:tc>
        <w:tc>
          <w:tcPr>
            <w:tcW w:w="1459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Institucijai ten</w:t>
            </w:r>
            <w:r w:rsidR="00723C32">
              <w:rPr>
                <w:rFonts w:eastAsia="Times New Roman" w:cstheme="minorHAnsi"/>
                <w:lang w:val="lt-LT"/>
              </w:rPr>
              <w:softHyphen/>
            </w:r>
            <w:r w:rsidRPr="00FF7FD8">
              <w:rPr>
                <w:rFonts w:eastAsia="Times New Roman" w:cstheme="minorHAnsi"/>
                <w:lang w:val="lt-LT"/>
              </w:rPr>
              <w:t xml:space="preserve">kanti sutarties lėšų dalis (tūkst. </w:t>
            </w:r>
            <w:proofErr w:type="spellStart"/>
            <w:r w:rsidRPr="00FF7FD8">
              <w:rPr>
                <w:rFonts w:eastAsia="Times New Roman" w:cstheme="minorHAnsi"/>
                <w:lang w:val="lt-LT"/>
              </w:rPr>
              <w:t>Eur</w:t>
            </w:r>
            <w:proofErr w:type="spellEnd"/>
            <w:r w:rsidRPr="00FF7FD8">
              <w:rPr>
                <w:rFonts w:eastAsia="Times New Roman" w:cstheme="minorHAnsi"/>
                <w:lang w:val="lt-LT"/>
              </w:rPr>
              <w:t>)</w:t>
            </w:r>
          </w:p>
        </w:tc>
        <w:tc>
          <w:tcPr>
            <w:tcW w:w="135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 xml:space="preserve">Per metus pagal sutartį gautos lėšos (tūkst. </w:t>
            </w:r>
            <w:proofErr w:type="spellStart"/>
            <w:r w:rsidRPr="00FF7FD8">
              <w:rPr>
                <w:rFonts w:eastAsia="Times New Roman" w:cstheme="minorHAnsi"/>
                <w:lang w:val="lt-LT"/>
              </w:rPr>
              <w:t>Eur</w:t>
            </w:r>
            <w:proofErr w:type="spellEnd"/>
            <w:r w:rsidRPr="00FF7FD8">
              <w:rPr>
                <w:rFonts w:eastAsia="Times New Roman" w:cstheme="minorHAnsi"/>
                <w:lang w:val="lt-LT"/>
              </w:rPr>
              <w:t>)</w:t>
            </w:r>
          </w:p>
        </w:tc>
        <w:tc>
          <w:tcPr>
            <w:tcW w:w="1611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proofErr w:type="spellStart"/>
            <w:r w:rsidRPr="002A6158">
              <w:rPr>
                <w:rFonts w:eastAsia="Times New Roman" w:cstheme="minorHAnsi"/>
                <w:lang w:val="lt-LT"/>
              </w:rPr>
              <w:t>Akad.padaliniui</w:t>
            </w:r>
            <w:proofErr w:type="spellEnd"/>
            <w:r w:rsidRPr="00FF7FD8">
              <w:rPr>
                <w:rFonts w:eastAsia="Times New Roman" w:cstheme="minorHAnsi"/>
                <w:lang w:val="lt-LT"/>
              </w:rPr>
              <w:t xml:space="preserve"> tenkanti gautų lėšų dalis, proc. (nuo 0 iki 100)</w:t>
            </w:r>
          </w:p>
        </w:tc>
      </w:tr>
      <w:tr w:rsidR="0003674E" w:rsidRPr="002A6158" w:rsidTr="00CF184B">
        <w:trPr>
          <w:cantSplit/>
          <w:trHeight w:val="23"/>
        </w:trPr>
        <w:tc>
          <w:tcPr>
            <w:tcW w:w="436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11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467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iki</w:t>
            </w:r>
          </w:p>
        </w:tc>
        <w:tc>
          <w:tcPr>
            <w:tcW w:w="1459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1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</w:tr>
      <w:tr w:rsidR="00CF184B" w:rsidRPr="002A6158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FA092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lastRenderedPageBreak/>
              <w:t>1.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3769AA" w:rsidRDefault="00FA092C" w:rsidP="001B166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highlight w:val="yellow"/>
                <w:lang w:val="lt-LT"/>
              </w:rPr>
            </w:pPr>
            <w:r>
              <w:rPr>
                <w:color w:val="222222"/>
                <w:shd w:val="clear" w:color="auto" w:fill="FFFFFF"/>
              </w:rPr>
              <w:t>COST EUGAIN CA19122 (</w:t>
            </w:r>
            <w:proofErr w:type="spellStart"/>
            <w:r>
              <w:rPr>
                <w:color w:val="222222"/>
                <w:shd w:val="clear" w:color="auto" w:fill="FFFFFF"/>
              </w:rPr>
              <w:t>Europos</w:t>
            </w:r>
            <w:proofErr w:type="spellEnd"/>
            <w:r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hd w:val="clear" w:color="auto" w:fill="FFFFFF"/>
              </w:rPr>
              <w:t>lyčių</w:t>
            </w:r>
            <w:proofErr w:type="spellEnd"/>
            <w:r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hd w:val="clear" w:color="auto" w:fill="FFFFFF"/>
              </w:rPr>
              <w:t>pusiausvyros</w:t>
            </w:r>
            <w:proofErr w:type="spellEnd"/>
            <w:r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hd w:val="clear" w:color="auto" w:fill="FFFFFF"/>
              </w:rPr>
              <w:t>informatikos</w:t>
            </w:r>
            <w:proofErr w:type="spellEnd"/>
            <w:r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hd w:val="clear" w:color="auto" w:fill="FFFFFF"/>
              </w:rPr>
              <w:t>tinklas</w:t>
            </w:r>
            <w:proofErr w:type="spellEnd"/>
            <w:r>
              <w:rPr>
                <w:color w:val="222222"/>
                <w:shd w:val="clear" w:color="auto" w:fill="FFFFFF"/>
              </w:rPr>
              <w:t>)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FA092C" w:rsidP="001B1667">
            <w:pPr>
              <w:widowControl w:val="0"/>
              <w:tabs>
                <w:tab w:val="left" w:pos="10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ascii="Calibri" w:hAnsi="Calibri" w:cs="Calibri"/>
                <w:color w:val="000000"/>
                <w:shd w:val="clear" w:color="auto" w:fill="F2F7F6"/>
              </w:rPr>
              <w:t>European Network For Gender Balance in Informatics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5B5" w:rsidRPr="00FF7FD8" w:rsidRDefault="00FA092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taip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FA092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ascii="Calibri" w:hAnsi="Calibri" w:cs="Calibri"/>
                <w:color w:val="000000"/>
                <w:shd w:val="clear" w:color="auto" w:fill="F2F7F6"/>
              </w:rPr>
              <w:t>2020.03.24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FA092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ascii="Calibri" w:hAnsi="Calibri" w:cs="Calibri"/>
                <w:color w:val="000000"/>
                <w:shd w:val="clear" w:color="auto" w:fill="F2F7F6"/>
              </w:rPr>
              <w:t>2024.04.20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1B1667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-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15B5" w:rsidRPr="00FF7FD8" w:rsidRDefault="00FA092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-</w:t>
            </w: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5B5" w:rsidRPr="00FF7FD8" w:rsidRDefault="00FA092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-</w:t>
            </w:r>
          </w:p>
        </w:tc>
      </w:tr>
      <w:tr w:rsidR="003769AA" w:rsidRPr="002A6158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769AA" w:rsidRPr="00FF7FD8" w:rsidRDefault="00FA092C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2.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769AA" w:rsidRPr="001B1667" w:rsidRDefault="003769AA" w:rsidP="001B166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1B1667">
              <w:rPr>
                <w:rFonts w:eastAsia="Times New Roman" w:cstheme="minorHAnsi"/>
                <w:lang w:val="lt-LT"/>
              </w:rPr>
              <w:t>Erasmus</w:t>
            </w:r>
            <w:r w:rsidR="001B1667">
              <w:rPr>
                <w:rFonts w:eastAsia="Times New Roman" w:cstheme="minorHAnsi"/>
                <w:lang w:val="lt-LT"/>
              </w:rPr>
              <w:t>+ KA220-HED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769AA" w:rsidRPr="00FF7FD8" w:rsidRDefault="001B1667" w:rsidP="001B166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proofErr w:type="spellStart"/>
            <w:r>
              <w:rPr>
                <w:rFonts w:eastAsia="Times New Roman" w:cstheme="minorHAnsi"/>
                <w:lang w:val="lt-LT"/>
              </w:rPr>
              <w:t>Future</w:t>
            </w:r>
            <w:proofErr w:type="spellEnd"/>
            <w:r>
              <w:rPr>
                <w:rFonts w:eastAsia="Times New Roman" w:cstheme="minorHAnsi"/>
                <w:lang w:val="lt-LT"/>
              </w:rPr>
              <w:t xml:space="preserve"> IT </w:t>
            </w:r>
            <w:proofErr w:type="spellStart"/>
            <w:r>
              <w:rPr>
                <w:rFonts w:eastAsia="Times New Roman" w:cstheme="minorHAnsi"/>
                <w:lang w:val="lt-LT"/>
              </w:rPr>
              <w:t>Professionals</w:t>
            </w:r>
            <w:proofErr w:type="spellEnd"/>
            <w:r>
              <w:rPr>
                <w:rFonts w:eastAsia="Times New Roman" w:cstheme="minorHAnsi"/>
                <w:lang w:val="lt-LT"/>
              </w:rPr>
              <w:t xml:space="preserve"> Education in </w:t>
            </w:r>
            <w:proofErr w:type="spellStart"/>
            <w:r>
              <w:rPr>
                <w:rFonts w:eastAsia="Times New Roman" w:cstheme="minorHAnsi"/>
                <w:lang w:val="lt-LT"/>
              </w:rPr>
              <w:t>Artificial</w:t>
            </w:r>
            <w:proofErr w:type="spellEnd"/>
            <w:r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Times New Roman" w:cstheme="minorHAnsi"/>
                <w:lang w:val="lt-LT"/>
              </w:rPr>
              <w:t>Intelligence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9AA" w:rsidRPr="00FF7FD8" w:rsidRDefault="001B1667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ne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769AA" w:rsidRPr="00FF7FD8" w:rsidRDefault="001B1667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2021-11-01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769AA" w:rsidRPr="00FF7FD8" w:rsidRDefault="001B1667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2024-11-01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769AA" w:rsidRPr="00FF7FD8" w:rsidRDefault="001B1667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t>38</w:t>
            </w:r>
            <w:r>
              <w:t> </w:t>
            </w:r>
            <w:r>
              <w:t>740</w:t>
            </w:r>
            <w:r>
              <w:t xml:space="preserve"> €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769AA" w:rsidRPr="00FF7FD8" w:rsidRDefault="003769AA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9AA" w:rsidRPr="00FF7FD8" w:rsidRDefault="003769AA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</w:tr>
    </w:tbl>
    <w:p w:rsidR="00FF7FD8" w:rsidRPr="002A6158" w:rsidRDefault="00FF7FD8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</w:p>
    <w:p w:rsidR="00E715B5" w:rsidRPr="002A6158" w:rsidRDefault="009C277D" w:rsidP="00585346">
      <w:pPr>
        <w:keepNext/>
        <w:widowControl w:val="0"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5</w:t>
      </w:r>
      <w:r w:rsidR="00E715B5" w:rsidRPr="002A6158">
        <w:rPr>
          <w:rFonts w:cstheme="minorHAnsi"/>
          <w:b/>
          <w:lang w:val="lt-LT"/>
        </w:rPr>
        <w:t>. MTEP vykdymo sutartys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50"/>
        <w:gridCol w:w="2977"/>
        <w:gridCol w:w="5245"/>
        <w:gridCol w:w="828"/>
        <w:gridCol w:w="828"/>
        <w:gridCol w:w="895"/>
        <w:gridCol w:w="1418"/>
        <w:gridCol w:w="1559"/>
      </w:tblGrid>
      <w:tr w:rsidR="001820A4" w:rsidRPr="002A6158" w:rsidTr="0003674E">
        <w:trPr>
          <w:cantSplit/>
          <w:trHeight w:val="21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Subjekto tipas*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Subjektas, su kuriuo sudaryta sutartis</w:t>
            </w:r>
          </w:p>
        </w:tc>
        <w:tc>
          <w:tcPr>
            <w:tcW w:w="524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pavadinimas, data ir numeris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vykdymo laikotarpis</w:t>
            </w:r>
          </w:p>
        </w:tc>
        <w:tc>
          <w:tcPr>
            <w:tcW w:w="89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 xml:space="preserve">Sutarties suma (tūkst. </w:t>
            </w:r>
            <w:proofErr w:type="spellStart"/>
            <w:r w:rsidRPr="002A6158">
              <w:rPr>
                <w:rFonts w:cstheme="minorHAnsi"/>
                <w:lang w:val="lt-LT"/>
              </w:rPr>
              <w:t>Eur</w:t>
            </w:r>
            <w:proofErr w:type="spellEnd"/>
            <w:r w:rsidRPr="002A6158">
              <w:rPr>
                <w:rFonts w:cstheme="minorHAnsi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 xml:space="preserve">Per metus pagal sutartį gautos lėšos (tūkst. </w:t>
            </w:r>
            <w:proofErr w:type="spellStart"/>
            <w:r w:rsidRPr="002A6158">
              <w:rPr>
                <w:rFonts w:cstheme="minorHAnsi"/>
                <w:lang w:val="lt-LT"/>
              </w:rPr>
              <w:t>Eur</w:t>
            </w:r>
            <w:proofErr w:type="spellEnd"/>
            <w:r w:rsidRPr="002A6158">
              <w:rPr>
                <w:rFonts w:cstheme="minorHAnsi"/>
                <w:lang w:val="lt-LT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Ak. padaliniui</w:t>
            </w:r>
            <w:r w:rsidRPr="00FF7FD8">
              <w:rPr>
                <w:rFonts w:cstheme="minorHAnsi"/>
                <w:lang w:val="lt-LT"/>
              </w:rPr>
              <w:t xml:space="preserve"> </w:t>
            </w:r>
            <w:r w:rsidRPr="002A6158">
              <w:rPr>
                <w:rFonts w:cstheme="minorHAnsi"/>
                <w:lang w:val="lt-LT"/>
              </w:rPr>
              <w:t>tenkanti gautų lėšų dalis proc. (nuo 0 iki 100)</w:t>
            </w:r>
          </w:p>
        </w:tc>
      </w:tr>
      <w:tr w:rsidR="001820A4" w:rsidRPr="002A6158" w:rsidTr="0003674E">
        <w:trPr>
          <w:cantSplit/>
          <w:trHeight w:val="340"/>
        </w:trPr>
        <w:tc>
          <w:tcPr>
            <w:tcW w:w="42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nuo</w:t>
            </w: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iki</w:t>
            </w:r>
          </w:p>
        </w:tc>
        <w:tc>
          <w:tcPr>
            <w:tcW w:w="89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</w:tr>
      <w:tr w:rsidR="001820A4" w:rsidRPr="002A6158" w:rsidTr="0003674E">
        <w:trPr>
          <w:cantSplit/>
          <w:trHeight w:val="21"/>
        </w:trPr>
        <w:tc>
          <w:tcPr>
            <w:tcW w:w="42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</w:tr>
    </w:tbl>
    <w:p w:rsidR="00E715B5" w:rsidRPr="002A6158" w:rsidRDefault="00E715B5" w:rsidP="00E715B5">
      <w:pPr>
        <w:widowControl w:val="0"/>
        <w:spacing w:after="0" w:line="240" w:lineRule="auto"/>
        <w:rPr>
          <w:rFonts w:cstheme="minorHAnsi"/>
          <w:lang w:val="lt-LT"/>
        </w:rPr>
      </w:pPr>
      <w:r w:rsidRPr="002A6158">
        <w:rPr>
          <w:rFonts w:cstheme="minorHAnsi"/>
          <w:lang w:val="lt-LT"/>
        </w:rPr>
        <w:t xml:space="preserve">*Subjektų tipai: LŪ – Lietuvos ūkio subjektas; </w:t>
      </w:r>
      <w:proofErr w:type="spellStart"/>
      <w:r w:rsidRPr="002A6158">
        <w:rPr>
          <w:rFonts w:cstheme="minorHAnsi"/>
          <w:lang w:val="lt-LT"/>
        </w:rPr>
        <w:t>Užs</w:t>
      </w:r>
      <w:proofErr w:type="spellEnd"/>
      <w:r w:rsidRPr="002A6158">
        <w:rPr>
          <w:rFonts w:cstheme="minorHAnsi"/>
          <w:lang w:val="lt-LT"/>
        </w:rPr>
        <w:t>. – užsienio subjektas; LVII – Lietuvos valstybinė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 ir įstaig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>; LSII – Lietuvos savivaldybių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 ir įstaig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; </w:t>
      </w:r>
      <w:r w:rsidR="00CF184B" w:rsidRPr="002A6158">
        <w:rPr>
          <w:rFonts w:cstheme="minorHAnsi"/>
          <w:lang w:val="lt-LT"/>
        </w:rPr>
        <w:br/>
      </w:r>
      <w:r w:rsidRPr="002A6158">
        <w:rPr>
          <w:rFonts w:cstheme="minorHAnsi"/>
          <w:lang w:val="lt-LT"/>
        </w:rPr>
        <w:t>LMSI – Lietuvos mokslo ir studijų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>; Pat. – Patentas ar patento paraiška</w:t>
      </w:r>
    </w:p>
    <w:p w:rsidR="00E715B5" w:rsidRPr="002A6158" w:rsidRDefault="00E715B5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</w:p>
    <w:p w:rsidR="00AF4701" w:rsidRPr="002A6158" w:rsidRDefault="009C277D" w:rsidP="00AF4701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6</w:t>
      </w:r>
      <w:r w:rsidR="00AF4701" w:rsidRPr="002A6158">
        <w:rPr>
          <w:rFonts w:cstheme="minorHAnsi"/>
          <w:b/>
          <w:lang w:val="lt-LT"/>
        </w:rPr>
        <w:t xml:space="preserve">. </w:t>
      </w:r>
      <w:r w:rsidR="00141577" w:rsidRPr="002A6158">
        <w:rPr>
          <w:rFonts w:cstheme="minorHAnsi"/>
          <w:b/>
          <w:lang w:val="lt-LT"/>
        </w:rPr>
        <w:t>Mokslininkų rengimas ir kvalifikacijos kėlimas</w:t>
      </w:r>
    </w:p>
    <w:p w:rsidR="006959A1" w:rsidRPr="002A6158" w:rsidRDefault="009C277D" w:rsidP="00604D86">
      <w:pPr>
        <w:keepNext/>
        <w:spacing w:before="6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 xml:space="preserve">.1. </w:t>
      </w:r>
      <w:r w:rsidR="006959A1" w:rsidRPr="002A6158">
        <w:rPr>
          <w:rFonts w:eastAsia="Times New Roman" w:cstheme="minorHAnsi"/>
          <w:b/>
          <w:bCs/>
          <w:lang w:val="lt-LT"/>
        </w:rPr>
        <w:t>Doktorantūrą baigusiųjų suvestinė</w:t>
      </w:r>
    </w:p>
    <w:tbl>
      <w:tblPr>
        <w:tblW w:w="107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1339"/>
        <w:gridCol w:w="1602"/>
        <w:gridCol w:w="1559"/>
        <w:gridCol w:w="1701"/>
        <w:gridCol w:w="1985"/>
      </w:tblGrid>
      <w:tr w:rsidR="009C277D" w:rsidRPr="002A6158" w:rsidTr="00C86CAA">
        <w:trPr>
          <w:cantSplit/>
        </w:trPr>
        <w:tc>
          <w:tcPr>
            <w:tcW w:w="2581" w:type="dxa"/>
            <w:vMerge w:val="restart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Mokslo kryptis</w:t>
            </w:r>
          </w:p>
        </w:tc>
        <w:tc>
          <w:tcPr>
            <w:tcW w:w="2941" w:type="dxa"/>
            <w:gridSpan w:val="2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2020-09-30  baigusieji</w:t>
            </w:r>
          </w:p>
        </w:tc>
        <w:tc>
          <w:tcPr>
            <w:tcW w:w="3260" w:type="dxa"/>
            <w:gridSpan w:val="2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2021-09-30  baigusieji</w:t>
            </w:r>
          </w:p>
        </w:tc>
        <w:tc>
          <w:tcPr>
            <w:tcW w:w="1985" w:type="dxa"/>
            <w:vMerge w:val="restart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ind w:left="-28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 xml:space="preserve">2021 m. </w:t>
            </w:r>
            <w:r w:rsidRPr="002A6158">
              <w:rPr>
                <w:rFonts w:eastAsia="Times New Roman" w:cstheme="minorHAnsi"/>
                <w:lang w:val="lt-LT"/>
              </w:rPr>
              <w:br/>
              <w:t>eksternu apgintų disertacijų sk.</w:t>
            </w:r>
          </w:p>
        </w:tc>
      </w:tr>
      <w:tr w:rsidR="009C277D" w:rsidRPr="002A6158" w:rsidTr="00C86CAA">
        <w:trPr>
          <w:cantSplit/>
        </w:trPr>
        <w:tc>
          <w:tcPr>
            <w:tcW w:w="2581" w:type="dxa"/>
            <w:vMerge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602" w:type="dxa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559" w:type="dxa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701" w:type="dxa"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985" w:type="dxa"/>
            <w:vMerge/>
            <w:shd w:val="clear" w:color="auto" w:fill="F2F2F2"/>
          </w:tcPr>
          <w:p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C277D" w:rsidRPr="002A6158" w:rsidTr="00C86CAA">
        <w:trPr>
          <w:trHeight w:val="65"/>
        </w:trPr>
        <w:tc>
          <w:tcPr>
            <w:tcW w:w="2581" w:type="dxa"/>
          </w:tcPr>
          <w:p w:rsidR="009C277D" w:rsidRPr="002A6158" w:rsidRDefault="00BE3DBB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T007</w:t>
            </w:r>
          </w:p>
        </w:tc>
        <w:tc>
          <w:tcPr>
            <w:tcW w:w="1339" w:type="dxa"/>
          </w:tcPr>
          <w:p w:rsidR="009C277D" w:rsidRPr="002A6158" w:rsidRDefault="00BE3DBB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602" w:type="dxa"/>
          </w:tcPr>
          <w:p w:rsidR="009C277D" w:rsidRPr="002A6158" w:rsidRDefault="00BE3DBB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559" w:type="dxa"/>
          </w:tcPr>
          <w:p w:rsidR="009C277D" w:rsidRPr="002A6158" w:rsidRDefault="00BE3DBB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701" w:type="dxa"/>
          </w:tcPr>
          <w:p w:rsidR="009C277D" w:rsidRPr="002A6158" w:rsidRDefault="00BE3DBB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985" w:type="dxa"/>
          </w:tcPr>
          <w:p w:rsidR="009C277D" w:rsidRPr="002A6158" w:rsidRDefault="00BE3DBB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</w:t>
            </w:r>
          </w:p>
        </w:tc>
      </w:tr>
      <w:tr w:rsidR="009C277D" w:rsidRPr="002A6158" w:rsidTr="00C86CAA">
        <w:trPr>
          <w:cantSplit/>
        </w:trPr>
        <w:tc>
          <w:tcPr>
            <w:tcW w:w="2581" w:type="dxa"/>
          </w:tcPr>
          <w:p w:rsidR="009C277D" w:rsidRPr="002A6158" w:rsidRDefault="009C277D" w:rsidP="009C277D">
            <w:pPr>
              <w:spacing w:after="0" w:line="240" w:lineRule="auto"/>
              <w:rPr>
                <w:rFonts w:eastAsia="Times New Roman" w:cstheme="minorHAnsi"/>
                <w:b/>
                <w:lang w:val="lt-LT"/>
              </w:rPr>
            </w:pPr>
            <w:r w:rsidRPr="002A6158">
              <w:rPr>
                <w:rFonts w:eastAsia="Times New Roman" w:cstheme="minorHAnsi"/>
                <w:b/>
                <w:lang w:val="lt-LT"/>
              </w:rPr>
              <w:t>Iš viso:</w:t>
            </w:r>
          </w:p>
        </w:tc>
        <w:tc>
          <w:tcPr>
            <w:tcW w:w="1339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602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559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701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985" w:type="dxa"/>
          </w:tcPr>
          <w:p w:rsidR="009C277D" w:rsidRPr="002A6158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</w:tbl>
    <w:p w:rsidR="006959A1" w:rsidRPr="002A6158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>.2. Vadovavimas doktorantams 2021 m.</w:t>
      </w:r>
    </w:p>
    <w:tbl>
      <w:tblPr>
        <w:tblW w:w="108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47"/>
        <w:gridCol w:w="3969"/>
        <w:gridCol w:w="1560"/>
        <w:gridCol w:w="1559"/>
      </w:tblGrid>
      <w:tr w:rsidR="00604D86" w:rsidRPr="002A6158" w:rsidTr="00924C89">
        <w:trPr>
          <w:trHeight w:val="176"/>
        </w:trPr>
        <w:tc>
          <w:tcPr>
            <w:tcW w:w="568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147" w:type="dxa"/>
            <w:shd w:val="clear" w:color="auto" w:fill="F2F2F2"/>
          </w:tcPr>
          <w:p w:rsidR="00604D86" w:rsidRPr="002A6158" w:rsidRDefault="00604D86" w:rsidP="00924C89">
            <w:pPr>
              <w:spacing w:after="0" w:line="240" w:lineRule="auto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Mokslinio vadovo vardas, pavardė</w:t>
            </w:r>
          </w:p>
        </w:tc>
        <w:tc>
          <w:tcPr>
            <w:tcW w:w="3969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Doktoranto vardas, pavardė</w:t>
            </w:r>
          </w:p>
        </w:tc>
        <w:tc>
          <w:tcPr>
            <w:tcW w:w="1560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1559" w:type="dxa"/>
            <w:shd w:val="clear" w:color="auto" w:fill="F2F2F2"/>
          </w:tcPr>
          <w:p w:rsidR="00604D86" w:rsidRPr="002A6158" w:rsidRDefault="00604D86" w:rsidP="00723C32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proofErr w:type="spellStart"/>
            <w:r w:rsidRPr="002A6158">
              <w:rPr>
                <w:rFonts w:eastAsia="Times New Roman" w:cstheme="minorHAnsi"/>
                <w:bCs/>
                <w:lang w:val="lt-LT"/>
              </w:rPr>
              <w:t>Dokt</w:t>
            </w:r>
            <w:proofErr w:type="spellEnd"/>
            <w:r w:rsidRPr="002A6158">
              <w:rPr>
                <w:rFonts w:eastAsia="Times New Roman" w:cstheme="minorHAnsi"/>
                <w:bCs/>
                <w:lang w:val="lt-LT"/>
              </w:rPr>
              <w:t>. forma (D/N)</w:t>
            </w:r>
          </w:p>
        </w:tc>
      </w:tr>
      <w:tr w:rsidR="00604D86" w:rsidRPr="002A6158" w:rsidTr="00924C89">
        <w:trPr>
          <w:trHeight w:val="270"/>
        </w:trPr>
        <w:tc>
          <w:tcPr>
            <w:tcW w:w="568" w:type="dxa"/>
          </w:tcPr>
          <w:p w:rsidR="00604D86" w:rsidRPr="002A6158" w:rsidRDefault="00924C89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</w:t>
            </w:r>
          </w:p>
        </w:tc>
        <w:tc>
          <w:tcPr>
            <w:tcW w:w="3147" w:type="dxa"/>
          </w:tcPr>
          <w:p w:rsidR="00604D86" w:rsidRPr="002A6158" w:rsidRDefault="00BE3DBB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Valentina Dagienė</w:t>
            </w:r>
          </w:p>
        </w:tc>
        <w:tc>
          <w:tcPr>
            <w:tcW w:w="3969" w:type="dxa"/>
          </w:tcPr>
          <w:p w:rsidR="00604D86" w:rsidRPr="002A6158" w:rsidRDefault="004F19D1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Tomas Šiaulys</w:t>
            </w:r>
          </w:p>
        </w:tc>
        <w:tc>
          <w:tcPr>
            <w:tcW w:w="1560" w:type="dxa"/>
          </w:tcPr>
          <w:p w:rsidR="00604D86" w:rsidRPr="002A6158" w:rsidRDefault="00BE3DBB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T007</w:t>
            </w:r>
          </w:p>
        </w:tc>
        <w:tc>
          <w:tcPr>
            <w:tcW w:w="1559" w:type="dxa"/>
          </w:tcPr>
          <w:p w:rsidR="00604D86" w:rsidRPr="002A6158" w:rsidRDefault="00BE3DBB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BE3DBB" w:rsidRPr="002A6158" w:rsidTr="00924C89">
        <w:trPr>
          <w:trHeight w:val="270"/>
        </w:trPr>
        <w:tc>
          <w:tcPr>
            <w:tcW w:w="568" w:type="dxa"/>
          </w:tcPr>
          <w:p w:rsidR="00BE3DBB" w:rsidRPr="002A6158" w:rsidRDefault="00924C89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2</w:t>
            </w:r>
          </w:p>
        </w:tc>
        <w:tc>
          <w:tcPr>
            <w:tcW w:w="3147" w:type="dxa"/>
          </w:tcPr>
          <w:p w:rsidR="00BE3DBB" w:rsidRDefault="00BE3DBB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Valentina Dagienė</w:t>
            </w:r>
          </w:p>
        </w:tc>
        <w:tc>
          <w:tcPr>
            <w:tcW w:w="3969" w:type="dxa"/>
          </w:tcPr>
          <w:p w:rsidR="00BE3DBB" w:rsidRDefault="004B2D1A" w:rsidP="00924C89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Viktorija Dvareckienė (</w:t>
            </w:r>
            <w:r w:rsidR="00924C89">
              <w:rPr>
                <w:rFonts w:eastAsia="Times New Roman" w:cstheme="minorHAnsi"/>
                <w:lang w:val="lt-LT"/>
              </w:rPr>
              <w:t>nutraukė studijas</w:t>
            </w:r>
            <w:r>
              <w:rPr>
                <w:rFonts w:eastAsia="Times New Roman" w:cstheme="minorHAnsi"/>
                <w:lang w:val="lt-LT"/>
              </w:rPr>
              <w:t>)</w:t>
            </w:r>
          </w:p>
        </w:tc>
        <w:tc>
          <w:tcPr>
            <w:tcW w:w="1560" w:type="dxa"/>
          </w:tcPr>
          <w:p w:rsidR="00BE3DBB" w:rsidRPr="002A6158" w:rsidRDefault="004B2D1A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T007</w:t>
            </w:r>
          </w:p>
        </w:tc>
        <w:tc>
          <w:tcPr>
            <w:tcW w:w="1559" w:type="dxa"/>
          </w:tcPr>
          <w:p w:rsidR="00BE3DBB" w:rsidRPr="002A6158" w:rsidRDefault="004B2D1A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BE3DBB" w:rsidRPr="002A6158" w:rsidTr="00924C89">
        <w:trPr>
          <w:trHeight w:val="270"/>
        </w:trPr>
        <w:tc>
          <w:tcPr>
            <w:tcW w:w="568" w:type="dxa"/>
          </w:tcPr>
          <w:p w:rsidR="00BE3DBB" w:rsidRPr="002A6158" w:rsidRDefault="00924C89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3</w:t>
            </w:r>
          </w:p>
        </w:tc>
        <w:tc>
          <w:tcPr>
            <w:tcW w:w="3147" w:type="dxa"/>
          </w:tcPr>
          <w:p w:rsidR="00BE3DBB" w:rsidRDefault="00BE3DBB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Tatjana Jevsikova</w:t>
            </w:r>
          </w:p>
        </w:tc>
        <w:tc>
          <w:tcPr>
            <w:tcW w:w="3969" w:type="dxa"/>
          </w:tcPr>
          <w:p w:rsidR="00BE3DBB" w:rsidRDefault="00BE3DBB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Vaida Masiulionytė-Dagienė</w:t>
            </w:r>
          </w:p>
        </w:tc>
        <w:tc>
          <w:tcPr>
            <w:tcW w:w="1560" w:type="dxa"/>
          </w:tcPr>
          <w:p w:rsidR="00BE3DBB" w:rsidRPr="002A6158" w:rsidRDefault="00BE3DBB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T007</w:t>
            </w:r>
          </w:p>
        </w:tc>
        <w:tc>
          <w:tcPr>
            <w:tcW w:w="1559" w:type="dxa"/>
          </w:tcPr>
          <w:p w:rsidR="00BE3DBB" w:rsidRPr="002A6158" w:rsidRDefault="00BE3DBB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D</w:t>
            </w:r>
          </w:p>
        </w:tc>
      </w:tr>
    </w:tbl>
    <w:p w:rsidR="00AF4701" w:rsidRPr="002A6158" w:rsidRDefault="00AF4701" w:rsidP="00957287">
      <w:pPr>
        <w:spacing w:after="0" w:line="240" w:lineRule="auto"/>
        <w:rPr>
          <w:rFonts w:cstheme="minorHAnsi"/>
          <w:b/>
          <w:lang w:val="lt-LT"/>
        </w:rPr>
      </w:pPr>
    </w:p>
    <w:p w:rsidR="000325A9" w:rsidRPr="002A6158" w:rsidRDefault="00585346" w:rsidP="00180D43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7</w:t>
      </w:r>
      <w:r w:rsidR="000325A9" w:rsidRPr="002A6158">
        <w:rPr>
          <w:rFonts w:cstheme="minorHAnsi"/>
          <w:b/>
          <w:lang w:val="lt-LT"/>
        </w:rPr>
        <w:t>. Tarptautiniai mokslininkų mainai</w:t>
      </w:r>
    </w:p>
    <w:p w:rsidR="00604D86" w:rsidRPr="002A6158" w:rsidRDefault="00585346" w:rsidP="00604D86">
      <w:pPr>
        <w:keepNext/>
        <w:spacing w:before="6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2A6158">
        <w:rPr>
          <w:rFonts w:eastAsia="Times New Roman" w:cstheme="minorHAnsi"/>
          <w:b/>
          <w:bCs/>
          <w:lang w:val="lt-LT"/>
        </w:rPr>
        <w:t>7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.1. </w:t>
      </w:r>
      <w:r w:rsidR="0003674E" w:rsidRPr="002A6158">
        <w:rPr>
          <w:rFonts w:eastAsia="Times New Roman" w:cstheme="minorHAnsi"/>
          <w:b/>
          <w:bCs/>
          <w:lang w:val="lt-LT"/>
        </w:rPr>
        <w:t>Stažuotės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(S) / </w:t>
      </w:r>
      <w:r w:rsidR="0003674E" w:rsidRPr="002A6158">
        <w:rPr>
          <w:rFonts w:eastAsia="Times New Roman" w:cstheme="minorHAnsi"/>
          <w:b/>
          <w:bCs/>
          <w:lang w:val="lt-LT"/>
        </w:rPr>
        <w:t>darbas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(D) / kitas bendradarbiavimas</w:t>
      </w:r>
      <w:r w:rsidR="00604D86" w:rsidRPr="002A6158">
        <w:rPr>
          <w:rFonts w:eastAsia="Times New Roman" w:cstheme="minorHAnsi"/>
          <w:bCs/>
          <w:lang w:val="lt-LT"/>
        </w:rPr>
        <w:t xml:space="preserve"> [ne konferencij</w:t>
      </w:r>
      <w:r w:rsidR="0003674E" w:rsidRPr="002A6158">
        <w:rPr>
          <w:rFonts w:eastAsia="Times New Roman" w:cstheme="minorHAnsi"/>
          <w:bCs/>
          <w:lang w:val="lt-LT"/>
        </w:rPr>
        <w:t>ose</w:t>
      </w:r>
      <w:r w:rsidR="00604D86" w:rsidRPr="002A6158">
        <w:rPr>
          <w:rFonts w:eastAsia="Times New Roman" w:cstheme="minorHAnsi"/>
          <w:bCs/>
          <w:lang w:val="lt-LT"/>
        </w:rPr>
        <w:t xml:space="preserve">] </w:t>
      </w:r>
      <w:r w:rsidR="00604D86" w:rsidRPr="002A6158">
        <w:rPr>
          <w:rFonts w:eastAsia="Times New Roman" w:cstheme="minorHAnsi"/>
          <w:b/>
          <w:bCs/>
          <w:lang w:val="lt-LT"/>
        </w:rPr>
        <w:t>(Kt</w:t>
      </w:r>
      <w:r w:rsidR="00CF7ACD">
        <w:rPr>
          <w:rFonts w:eastAsia="Times New Roman" w:cstheme="minorHAnsi"/>
          <w:b/>
          <w:bCs/>
          <w:lang w:val="lt-LT"/>
        </w:rPr>
        <w:t>.</w:t>
      </w:r>
      <w:r w:rsidR="00604D86" w:rsidRPr="002A6158">
        <w:rPr>
          <w:rFonts w:eastAsia="Times New Roman" w:cstheme="minorHAnsi"/>
          <w:b/>
          <w:bCs/>
          <w:lang w:val="lt-LT"/>
        </w:rPr>
        <w:t>) užsienyje iki 6 mėn.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7"/>
        <w:gridCol w:w="9188"/>
        <w:gridCol w:w="1674"/>
        <w:gridCol w:w="1239"/>
      </w:tblGrid>
      <w:tr w:rsidR="000325A9" w:rsidRPr="002A6158" w:rsidTr="00BE3DBB">
        <w:tc>
          <w:tcPr>
            <w:tcW w:w="2687" w:type="dxa"/>
            <w:shd w:val="clear" w:color="auto" w:fill="F2F2F2"/>
          </w:tcPr>
          <w:p w:rsidR="000325A9" w:rsidRPr="002A6158" w:rsidRDefault="000325A9" w:rsidP="009C6A45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DMSTI darbuotoja</w:t>
            </w:r>
            <w:r w:rsidR="009C6A45" w:rsidRPr="002A6158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9188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>Institucija, šalis į kurią nuvyko</w:t>
            </w:r>
          </w:p>
        </w:tc>
        <w:tc>
          <w:tcPr>
            <w:tcW w:w="1674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2A6158">
              <w:rPr>
                <w:rFonts w:eastAsia="Times New Roman" w:cstheme="minorHAnsi"/>
                <w:iCs/>
                <w:lang w:val="lt-LT"/>
              </w:rPr>
              <w:br/>
              <w:t>(S, D arba Kt</w:t>
            </w:r>
            <w:r w:rsidR="00CF7ACD">
              <w:rPr>
                <w:rFonts w:eastAsia="Times New Roman" w:cstheme="minorHAnsi"/>
                <w:iCs/>
                <w:lang w:val="lt-LT"/>
              </w:rPr>
              <w:t>.</w:t>
            </w:r>
            <w:r w:rsidRPr="002A6158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239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604D86" w:rsidRPr="002A6158" w:rsidTr="00BE3DBB">
        <w:tc>
          <w:tcPr>
            <w:tcW w:w="2687" w:type="dxa"/>
          </w:tcPr>
          <w:p w:rsidR="000325A9" w:rsidRPr="002A6158" w:rsidRDefault="00BE3DBB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Anita Juškevičienė</w:t>
            </w:r>
          </w:p>
        </w:tc>
        <w:tc>
          <w:tcPr>
            <w:tcW w:w="9188" w:type="dxa"/>
          </w:tcPr>
          <w:p w:rsidR="000325A9" w:rsidRPr="002A6158" w:rsidRDefault="00BE3DBB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KTH karališkasis technologijos institutas,  Švedija</w:t>
            </w:r>
          </w:p>
        </w:tc>
        <w:tc>
          <w:tcPr>
            <w:tcW w:w="1674" w:type="dxa"/>
          </w:tcPr>
          <w:p w:rsidR="000325A9" w:rsidRPr="002A6158" w:rsidRDefault="00BE3DBB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239" w:type="dxa"/>
          </w:tcPr>
          <w:p w:rsidR="000325A9" w:rsidRPr="002A6158" w:rsidRDefault="00BE3DBB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0,5</w:t>
            </w:r>
          </w:p>
        </w:tc>
      </w:tr>
      <w:tr w:rsidR="00BE3DBB" w:rsidRPr="002A6158" w:rsidTr="00BE3DBB">
        <w:tc>
          <w:tcPr>
            <w:tcW w:w="2687" w:type="dxa"/>
          </w:tcPr>
          <w:p w:rsidR="00BE3DBB" w:rsidRPr="002A6158" w:rsidRDefault="00BE3DBB" w:rsidP="00BE3DBB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Anita Juškevičienė</w:t>
            </w:r>
          </w:p>
        </w:tc>
        <w:tc>
          <w:tcPr>
            <w:tcW w:w="9188" w:type="dxa"/>
          </w:tcPr>
          <w:p w:rsidR="00BE3DBB" w:rsidRPr="002A6158" w:rsidRDefault="00BE3DBB" w:rsidP="00BE3DBB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Kipro technologinis universitetas, Kipras</w:t>
            </w:r>
          </w:p>
        </w:tc>
        <w:tc>
          <w:tcPr>
            <w:tcW w:w="1674" w:type="dxa"/>
          </w:tcPr>
          <w:p w:rsidR="00BE3DBB" w:rsidRPr="002A6158" w:rsidRDefault="00BE3DBB" w:rsidP="00BE3DBB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Kt.</w:t>
            </w:r>
          </w:p>
        </w:tc>
        <w:tc>
          <w:tcPr>
            <w:tcW w:w="1239" w:type="dxa"/>
          </w:tcPr>
          <w:p w:rsidR="00BE3DBB" w:rsidRPr="002A6158" w:rsidRDefault="00BE3DBB" w:rsidP="00BE3DBB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0,25</w:t>
            </w:r>
          </w:p>
        </w:tc>
      </w:tr>
    </w:tbl>
    <w:p w:rsidR="00604D86" w:rsidRPr="002A6158" w:rsidRDefault="00585346" w:rsidP="009C6A45">
      <w:pPr>
        <w:keepNext/>
        <w:spacing w:before="12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2A6158">
        <w:rPr>
          <w:rFonts w:eastAsia="Times New Roman" w:cstheme="minorHAnsi"/>
          <w:b/>
          <w:bCs/>
          <w:lang w:val="lt-LT"/>
        </w:rPr>
        <w:lastRenderedPageBreak/>
        <w:t>7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.2. </w:t>
      </w:r>
      <w:r w:rsidR="00CF184B" w:rsidRPr="002A6158">
        <w:rPr>
          <w:rFonts w:eastAsia="Times New Roman" w:cstheme="minorHAnsi"/>
          <w:b/>
          <w:bCs/>
          <w:lang w:val="lt-LT"/>
        </w:rPr>
        <w:t>DMSTI b</w:t>
      </w:r>
      <w:r w:rsidR="00604D86" w:rsidRPr="002A6158">
        <w:rPr>
          <w:rFonts w:eastAsia="Times New Roman" w:cstheme="minorHAnsi"/>
          <w:b/>
          <w:bCs/>
          <w:lang w:val="lt-LT"/>
        </w:rPr>
        <w:t>esistažav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(S) / dirb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(D) / kita</w:t>
      </w:r>
      <w:r w:rsidR="00CF184B" w:rsidRPr="002A6158">
        <w:rPr>
          <w:rFonts w:eastAsia="Times New Roman" w:cstheme="minorHAnsi"/>
          <w:b/>
          <w:bCs/>
          <w:lang w:val="lt-LT"/>
        </w:rPr>
        <w:t>ip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bendradarbiav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</w:t>
      </w:r>
      <w:r w:rsidR="00604D86" w:rsidRPr="002A6158">
        <w:rPr>
          <w:rFonts w:eastAsia="Times New Roman" w:cstheme="minorHAnsi"/>
          <w:bCs/>
          <w:lang w:val="lt-LT"/>
        </w:rPr>
        <w:t>[ne konferencij</w:t>
      </w:r>
      <w:r w:rsidR="0003674E" w:rsidRPr="002A6158">
        <w:rPr>
          <w:rFonts w:eastAsia="Times New Roman" w:cstheme="minorHAnsi"/>
          <w:bCs/>
          <w:lang w:val="lt-LT"/>
        </w:rPr>
        <w:t>ose</w:t>
      </w:r>
      <w:r w:rsidR="00604D86" w:rsidRPr="002A6158">
        <w:rPr>
          <w:rFonts w:eastAsia="Times New Roman" w:cstheme="minorHAnsi"/>
          <w:bCs/>
          <w:lang w:val="lt-LT"/>
        </w:rPr>
        <w:t>]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(Kt</w:t>
      </w:r>
      <w:r w:rsidR="00CF7ACD">
        <w:rPr>
          <w:rFonts w:eastAsia="Times New Roman" w:cstheme="minorHAnsi"/>
          <w:b/>
          <w:bCs/>
          <w:lang w:val="lt-LT"/>
        </w:rPr>
        <w:t>.</w:t>
      </w:r>
      <w:r w:rsidR="00604D86" w:rsidRPr="002A6158">
        <w:rPr>
          <w:rFonts w:eastAsia="Times New Roman" w:cstheme="minorHAnsi"/>
          <w:b/>
          <w:bCs/>
          <w:lang w:val="lt-LT"/>
        </w:rPr>
        <w:t>) užsienieči</w:t>
      </w:r>
      <w:r w:rsidR="00CF184B" w:rsidRPr="002A6158">
        <w:rPr>
          <w:rFonts w:eastAsia="Times New Roman" w:cstheme="minorHAnsi"/>
          <w:b/>
          <w:bCs/>
          <w:lang w:val="lt-LT"/>
        </w:rPr>
        <w:t xml:space="preserve">ai 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9188"/>
        <w:gridCol w:w="1673"/>
        <w:gridCol w:w="1239"/>
      </w:tblGrid>
      <w:tr w:rsidR="000325A9" w:rsidRPr="002A6158" w:rsidTr="009C6A45">
        <w:tc>
          <w:tcPr>
            <w:tcW w:w="2694" w:type="dxa"/>
            <w:shd w:val="clear" w:color="auto" w:fill="F2F2F2"/>
          </w:tcPr>
          <w:p w:rsidR="000325A9" w:rsidRPr="002A6158" w:rsidRDefault="000325A9" w:rsidP="009E2118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Darbuotoja</w:t>
            </w:r>
            <w:r w:rsidR="009E2118" w:rsidRPr="002A6158">
              <w:rPr>
                <w:rFonts w:eastAsia="Times New Roman" w:cstheme="minorHAnsi"/>
                <w:lang w:val="lt-LT"/>
              </w:rPr>
              <w:t>s</w:t>
            </w:r>
            <w:r w:rsidRPr="002A6158">
              <w:rPr>
                <w:rFonts w:eastAsia="Times New Roman" w:cstheme="minorHAnsi"/>
                <w:lang w:val="lt-LT"/>
              </w:rPr>
              <w:t xml:space="preserve"> iš užsienio</w:t>
            </w:r>
          </w:p>
        </w:tc>
        <w:tc>
          <w:tcPr>
            <w:tcW w:w="9223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2A6158">
              <w:rPr>
                <w:rFonts w:eastAsia="Times New Roman" w:cstheme="minorHAnsi"/>
                <w:iCs/>
                <w:lang w:val="lt-LT"/>
              </w:rPr>
              <w:br/>
              <w:t xml:space="preserve">(S, D arba </w:t>
            </w:r>
            <w:proofErr w:type="spellStart"/>
            <w:r w:rsidRPr="002A6158">
              <w:rPr>
                <w:rFonts w:eastAsia="Times New Roman" w:cstheme="minorHAnsi"/>
                <w:iCs/>
                <w:lang w:val="lt-LT"/>
              </w:rPr>
              <w:t>Kt</w:t>
            </w:r>
            <w:proofErr w:type="spellEnd"/>
            <w:r w:rsidRPr="002A6158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0325A9" w:rsidRPr="002A6158" w:rsidTr="009C6A45">
        <w:tc>
          <w:tcPr>
            <w:tcW w:w="2694" w:type="dxa"/>
          </w:tcPr>
          <w:p w:rsidR="000325A9" w:rsidRPr="00E24BE7" w:rsidRDefault="0055222A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E24BE7">
              <w:rPr>
                <w:rFonts w:eastAsia="Times New Roman" w:cstheme="minorHAnsi"/>
                <w:lang w:val="lt-LT"/>
              </w:rPr>
              <w:t>Mirjana Ivanovic</w:t>
            </w:r>
          </w:p>
        </w:tc>
        <w:tc>
          <w:tcPr>
            <w:tcW w:w="9223" w:type="dxa"/>
          </w:tcPr>
          <w:p w:rsidR="000325A9" w:rsidRPr="00E24BE7" w:rsidRDefault="0055222A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proofErr w:type="spellStart"/>
            <w:r w:rsidRPr="00E24BE7">
              <w:rPr>
                <w:rFonts w:eastAsia="Times New Roman" w:cstheme="minorHAnsi"/>
                <w:lang w:val="lt-LT"/>
              </w:rPr>
              <w:t>Novi</w:t>
            </w:r>
            <w:proofErr w:type="spellEnd"/>
            <w:r w:rsidRPr="00E24BE7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E24BE7">
              <w:rPr>
                <w:rFonts w:eastAsia="Times New Roman" w:cstheme="minorHAnsi"/>
                <w:lang w:val="lt-LT"/>
              </w:rPr>
              <w:t>Sad</w:t>
            </w:r>
            <w:proofErr w:type="spellEnd"/>
            <w:r w:rsidRPr="00E24BE7">
              <w:rPr>
                <w:rFonts w:eastAsia="Times New Roman" w:cstheme="minorHAnsi"/>
                <w:lang w:val="lt-LT"/>
              </w:rPr>
              <w:t xml:space="preserve"> universitetas, Serbija</w:t>
            </w:r>
          </w:p>
        </w:tc>
        <w:tc>
          <w:tcPr>
            <w:tcW w:w="1678" w:type="dxa"/>
          </w:tcPr>
          <w:p w:rsidR="000325A9" w:rsidRPr="00E24BE7" w:rsidRDefault="0055222A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E24BE7">
              <w:rPr>
                <w:rFonts w:eastAsia="Times New Roman" w:cstheme="minorHAnsi"/>
                <w:lang w:val="lt-LT"/>
              </w:rPr>
              <w:t>Kt.</w:t>
            </w:r>
          </w:p>
        </w:tc>
        <w:tc>
          <w:tcPr>
            <w:tcW w:w="1193" w:type="dxa"/>
          </w:tcPr>
          <w:p w:rsidR="000325A9" w:rsidRPr="00E24BE7" w:rsidRDefault="0055222A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E24BE7">
              <w:rPr>
                <w:rFonts w:eastAsia="Times New Roman" w:cstheme="minorHAnsi"/>
                <w:lang w:val="lt-LT"/>
              </w:rPr>
              <w:t>0,25</w:t>
            </w:r>
          </w:p>
        </w:tc>
      </w:tr>
      <w:tr w:rsidR="004B2D1A" w:rsidRPr="002A6158" w:rsidTr="009C6A45">
        <w:tc>
          <w:tcPr>
            <w:tcW w:w="2694" w:type="dxa"/>
          </w:tcPr>
          <w:p w:rsidR="004B2D1A" w:rsidRPr="00E24BE7" w:rsidRDefault="004B2D1A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Martin Drlik</w:t>
            </w:r>
          </w:p>
        </w:tc>
        <w:tc>
          <w:tcPr>
            <w:tcW w:w="9223" w:type="dxa"/>
          </w:tcPr>
          <w:p w:rsidR="004B2D1A" w:rsidRPr="00E24BE7" w:rsidRDefault="00CC0149" w:rsidP="00FA231F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FA231F">
              <w:rPr>
                <w:rFonts w:eastAsia="Times New Roman" w:cstheme="minorHAnsi"/>
                <w:lang w:val="lt-LT"/>
              </w:rPr>
              <w:t xml:space="preserve">Computer </w:t>
            </w:r>
            <w:proofErr w:type="spellStart"/>
            <w:r w:rsidRPr="00FA231F">
              <w:rPr>
                <w:rFonts w:eastAsia="Times New Roman" w:cstheme="minorHAnsi"/>
                <w:lang w:val="lt-LT"/>
              </w:rPr>
              <w:t>Science</w:t>
            </w:r>
            <w:proofErr w:type="spellEnd"/>
            <w:r w:rsidRPr="00FA231F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FA231F">
              <w:rPr>
                <w:rFonts w:eastAsia="Times New Roman" w:cstheme="minorHAnsi"/>
                <w:lang w:val="lt-LT"/>
              </w:rPr>
              <w:t>Faculty</w:t>
            </w:r>
            <w:proofErr w:type="spellEnd"/>
            <w:r w:rsidRPr="00FA231F">
              <w:rPr>
                <w:rFonts w:eastAsia="Times New Roman" w:cstheme="minorHAnsi"/>
                <w:lang w:val="lt-LT"/>
              </w:rPr>
              <w:t xml:space="preserve"> of </w:t>
            </w:r>
            <w:proofErr w:type="spellStart"/>
            <w:r w:rsidRPr="00FA231F">
              <w:rPr>
                <w:rFonts w:eastAsia="Times New Roman" w:cstheme="minorHAnsi"/>
                <w:lang w:val="lt-LT"/>
              </w:rPr>
              <w:t>Natural</w:t>
            </w:r>
            <w:proofErr w:type="spellEnd"/>
            <w:r w:rsidRPr="00FA231F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FA231F">
              <w:rPr>
                <w:rFonts w:eastAsia="Times New Roman" w:cstheme="minorHAnsi"/>
                <w:lang w:val="lt-LT"/>
              </w:rPr>
              <w:t>Sciences</w:t>
            </w:r>
            <w:proofErr w:type="spellEnd"/>
            <w:r w:rsidRPr="00FA231F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FA231F">
              <w:rPr>
                <w:rFonts w:eastAsia="Times New Roman" w:cstheme="minorHAnsi"/>
                <w:lang w:val="lt-LT"/>
              </w:rPr>
              <w:t>Constantine</w:t>
            </w:r>
            <w:proofErr w:type="spellEnd"/>
            <w:r w:rsidRPr="00FA231F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FA231F">
              <w:rPr>
                <w:rFonts w:eastAsia="Times New Roman" w:cstheme="minorHAnsi"/>
                <w:lang w:val="lt-LT"/>
              </w:rPr>
              <w:t>the</w:t>
            </w:r>
            <w:proofErr w:type="spellEnd"/>
            <w:r w:rsidRPr="00FA231F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FA231F">
              <w:rPr>
                <w:rFonts w:eastAsia="Times New Roman" w:cstheme="minorHAnsi"/>
                <w:lang w:val="lt-LT"/>
              </w:rPr>
              <w:t>Philosopher</w:t>
            </w:r>
            <w:proofErr w:type="spellEnd"/>
            <w:r w:rsidRPr="00FA231F">
              <w:rPr>
                <w:rFonts w:eastAsia="Times New Roman" w:cstheme="minorHAnsi"/>
                <w:lang w:val="lt-LT"/>
              </w:rPr>
              <w:t xml:space="preserve"> University in </w:t>
            </w:r>
            <w:proofErr w:type="spellStart"/>
            <w:r w:rsidRPr="00FA231F">
              <w:rPr>
                <w:rFonts w:eastAsia="Times New Roman" w:cstheme="minorHAnsi"/>
                <w:lang w:val="lt-LT"/>
              </w:rPr>
              <w:t>Nitra</w:t>
            </w:r>
            <w:proofErr w:type="spellEnd"/>
          </w:p>
        </w:tc>
        <w:tc>
          <w:tcPr>
            <w:tcW w:w="1678" w:type="dxa"/>
          </w:tcPr>
          <w:p w:rsidR="004B2D1A" w:rsidRPr="00E24BE7" w:rsidRDefault="004B2D1A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Kt.</w:t>
            </w:r>
          </w:p>
        </w:tc>
        <w:tc>
          <w:tcPr>
            <w:tcW w:w="1193" w:type="dxa"/>
          </w:tcPr>
          <w:p w:rsidR="004B2D1A" w:rsidRPr="00E24BE7" w:rsidRDefault="004B2D1A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0,25</w:t>
            </w:r>
          </w:p>
        </w:tc>
      </w:tr>
    </w:tbl>
    <w:p w:rsidR="000325A9" w:rsidRPr="002A6158" w:rsidRDefault="000325A9" w:rsidP="000325A9">
      <w:pPr>
        <w:spacing w:after="0" w:line="240" w:lineRule="auto"/>
        <w:ind w:left="172" w:hanging="399"/>
        <w:jc w:val="both"/>
        <w:rPr>
          <w:rFonts w:eastAsia="Times New Roman" w:cstheme="minorHAnsi"/>
          <w:b/>
          <w:bCs/>
          <w:lang w:val="lt-LT"/>
        </w:rPr>
      </w:pPr>
    </w:p>
    <w:p w:rsidR="00585346" w:rsidRPr="002A6158" w:rsidRDefault="00585346" w:rsidP="0003674E">
      <w:pPr>
        <w:keepNext/>
        <w:spacing w:after="0" w:line="240" w:lineRule="auto"/>
        <w:ind w:left="142" w:hanging="142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8. Tyrėjų dalyvavimo valstybės valdymo institucijų, valstybės ir savivaldybių įstaigų, įmonių ir organizacijų, verslo subjektų sudarytose </w:t>
      </w:r>
      <w:r w:rsidR="0003674E" w:rsidRPr="002A6158">
        <w:rPr>
          <w:rFonts w:cstheme="minorHAnsi"/>
          <w:b/>
          <w:lang w:val="lt-LT"/>
        </w:rPr>
        <w:br/>
      </w:r>
      <w:r w:rsidRPr="002A6158">
        <w:rPr>
          <w:rFonts w:cstheme="minorHAnsi"/>
          <w:b/>
          <w:lang w:val="lt-LT"/>
        </w:rPr>
        <w:t>darbo grupėse, komisijose ar komitetuose svarbiausi atvejai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"/>
        <w:gridCol w:w="1501"/>
        <w:gridCol w:w="5882"/>
        <w:gridCol w:w="1797"/>
        <w:gridCol w:w="1626"/>
        <w:gridCol w:w="3406"/>
      </w:tblGrid>
      <w:tr w:rsidR="00FA231F" w:rsidRPr="00585346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Dalyvavimą įrodanti nuoroda (URL) ir (arba) prisegamas dokumentas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Organizacija, kurios sudarytose darbo grupėse ar komisijose dalyvauta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ar pozicija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Kita informacija apie dalyvavimą</w:t>
            </w:r>
          </w:p>
        </w:tc>
      </w:tr>
      <w:tr w:rsidR="00FA231F" w:rsidRPr="00585346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4B2D1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FA231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FA231F">
              <w:rPr>
                <w:rFonts w:eastAsia="Calibri" w:cstheme="minorHAnsi"/>
                <w:lang w:val="lt-LT"/>
              </w:rPr>
              <w:t>https://www.emokykla.lt/upload/EMOKYKLA/BP/PDF/</w:t>
            </w:r>
            <w:r>
              <w:rPr>
                <w:rFonts w:eastAsia="Calibri" w:cstheme="minorHAnsi"/>
                <w:lang w:val="lt-LT"/>
              </w:rPr>
              <w:br/>
            </w:r>
            <w:r w:rsidRPr="00FA231F">
              <w:rPr>
                <w:rFonts w:eastAsia="Calibri" w:cstheme="minorHAnsi"/>
                <w:lang w:val="lt-LT"/>
              </w:rPr>
              <w:t>informatika/INFORMATIKOS%20BP%20projektas.%202021-03-30.pdf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4B2D1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Nacionalinė švietimo agentūra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FA231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Atnaujinti ir kurti informatikos programą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FA231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Dalyvauju pradiniame, pagrindiniame ir viduriniame ugdyme</w:t>
            </w:r>
          </w:p>
        </w:tc>
      </w:tr>
      <w:tr w:rsidR="00AD0351" w:rsidRPr="00AD0351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51" w:rsidRPr="00AD0351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0351">
              <w:rPr>
                <w:rFonts w:eastAsia="Calibri" w:cstheme="minorHAnsi"/>
                <w:lang w:val="lt-LT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51" w:rsidRPr="00AD0351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0351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51" w:rsidRPr="00AD0351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0351">
              <w:rPr>
                <w:rFonts w:eastAsia="Calibri" w:cstheme="minorHAnsi"/>
                <w:lang w:val="lt-LT"/>
              </w:rPr>
              <w:t>https://www.vu.lt/site_files/DRS/</w:t>
            </w:r>
            <w:r w:rsidRPr="00AD0351">
              <w:rPr>
                <w:rFonts w:eastAsia="Calibri" w:cstheme="minorHAnsi"/>
                <w:lang w:val="lt-LT"/>
              </w:rPr>
              <w:br/>
              <w:t>DOKTORANTUROS_komitetai/Socialiniai_mokslai/Edukologijos-mokslo-krypties-doktoranturos-komitetas.pdf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51" w:rsidRPr="00AD0351" w:rsidRDefault="00AD0351" w:rsidP="00AD0351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0351">
              <w:rPr>
                <w:sz w:val="20"/>
                <w:szCs w:val="20"/>
                <w:lang w:val="lt-LT"/>
              </w:rPr>
              <w:t>Jungtinio Edukologijos doktorantūros komiteto narė (Vytauto Didžiojo, Vilniaus, Klaipėdos, Riomerio</w:t>
            </w:r>
            <w:r>
              <w:rPr>
                <w:sz w:val="20"/>
                <w:szCs w:val="20"/>
                <w:lang w:val="lt-LT"/>
              </w:rPr>
              <w:t xml:space="preserve"> ir</w:t>
            </w:r>
            <w:r w:rsidRPr="00AD0351">
              <w:rPr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D0351">
              <w:rPr>
                <w:sz w:val="20"/>
                <w:szCs w:val="20"/>
                <w:lang w:val="lt-LT"/>
              </w:rPr>
              <w:t>Aveiro</w:t>
            </w:r>
            <w:proofErr w:type="spellEnd"/>
            <w:r w:rsidRPr="00AD0351">
              <w:rPr>
                <w:sz w:val="20"/>
                <w:szCs w:val="20"/>
                <w:lang w:val="lt-LT"/>
              </w:rPr>
              <w:t xml:space="preserve"> univer</w:t>
            </w:r>
            <w:r>
              <w:rPr>
                <w:sz w:val="20"/>
                <w:szCs w:val="20"/>
                <w:lang w:val="lt-LT"/>
              </w:rPr>
              <w:t>sitetai</w:t>
            </w:r>
            <w:r w:rsidRPr="00AD0351">
              <w:rPr>
                <w:sz w:val="20"/>
                <w:szCs w:val="20"/>
                <w:lang w:val="lt-LT"/>
              </w:rPr>
              <w:t>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51" w:rsidRPr="00AD0351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narė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51" w:rsidRPr="00AD0351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0325A9" w:rsidRPr="00AD0351" w:rsidRDefault="000325A9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9. </w:t>
      </w:r>
      <w:r w:rsidR="009C6A45" w:rsidRPr="002A6158">
        <w:rPr>
          <w:rFonts w:cstheme="minorHAnsi"/>
          <w:b/>
          <w:lang w:val="lt-LT"/>
        </w:rPr>
        <w:t>Svarbiausios v</w:t>
      </w:r>
      <w:r w:rsidRPr="002A6158">
        <w:rPr>
          <w:rFonts w:cstheme="minorHAnsi"/>
          <w:b/>
          <w:lang w:val="lt-LT"/>
        </w:rPr>
        <w:t>isuomenei ar ūkio subjektams suteikt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konsultacij</w:t>
      </w:r>
      <w:r w:rsidR="000B6DB8" w:rsidRPr="002A6158">
        <w:rPr>
          <w:rFonts w:cstheme="minorHAnsi"/>
          <w:b/>
          <w:lang w:val="lt-LT"/>
        </w:rPr>
        <w:t>os</w:t>
      </w:r>
    </w:p>
    <w:tbl>
      <w:tblPr>
        <w:tblW w:w="146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2410"/>
        <w:gridCol w:w="2126"/>
        <w:gridCol w:w="5245"/>
        <w:gridCol w:w="2479"/>
      </w:tblGrid>
      <w:tr w:rsidR="000B6DB8" w:rsidRPr="002A6158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Konsultacijos pavadinimas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Konsultacijos objektas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DB8" w:rsidRPr="00585346" w:rsidRDefault="000B6DB8" w:rsidP="00723C32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Paaiškinimas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Konsultaciją įrodantis prisegamas dokumentas</w:t>
            </w:r>
          </w:p>
        </w:tc>
      </w:tr>
      <w:tr w:rsidR="000B6DB8" w:rsidRPr="002A6158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DB8" w:rsidRPr="002A6158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10. Organizuot</w:t>
      </w:r>
      <w:r w:rsidR="0003674E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mokslin</w:t>
      </w:r>
      <w:r w:rsidR="000B6DB8" w:rsidRPr="002A6158">
        <w:rPr>
          <w:rFonts w:cstheme="minorHAnsi"/>
          <w:b/>
          <w:lang w:val="lt-LT"/>
        </w:rPr>
        <w:t>ės</w:t>
      </w:r>
      <w:r w:rsidRPr="002A6158">
        <w:rPr>
          <w:rFonts w:cstheme="minorHAnsi"/>
          <w:b/>
          <w:lang w:val="lt-LT"/>
        </w:rPr>
        <w:t xml:space="preserve"> konferencij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ir rengini</w:t>
      </w:r>
      <w:r w:rsidR="000B6DB8" w:rsidRPr="002A6158">
        <w:rPr>
          <w:rFonts w:cstheme="minorHAnsi"/>
          <w:b/>
          <w:lang w:val="lt-LT"/>
        </w:rPr>
        <w:t>ai</w:t>
      </w:r>
    </w:p>
    <w:tbl>
      <w:tblPr>
        <w:tblW w:w="147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1829"/>
        <w:gridCol w:w="3327"/>
        <w:gridCol w:w="5674"/>
        <w:gridCol w:w="3348"/>
      </w:tblGrid>
      <w:tr w:rsidR="00585346" w:rsidRPr="00585346" w:rsidTr="001B166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Data, Vieta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Nuoroda į konferencijos arba renginio puslapį ir (arba) prisegamas konferenciją arba renginį aprašantis dokumentas</w:t>
            </w:r>
          </w:p>
        </w:tc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Konferencijos ar renginio pavadinimas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Organizatorius</w:t>
            </w:r>
          </w:p>
        </w:tc>
      </w:tr>
      <w:tr w:rsidR="004B2D1A" w:rsidRPr="00585346" w:rsidTr="001B166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2D1A" w:rsidRPr="00585346" w:rsidRDefault="001B16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2D1A" w:rsidRPr="00585346" w:rsidRDefault="00F376B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Druskininkai, 2021 m.-gruodžio </w:t>
            </w:r>
            <w:r>
              <w:rPr>
                <w:rFonts w:eastAsia="Calibri" w:cstheme="minorHAnsi"/>
                <w:lang w:val="lt-LT"/>
              </w:rPr>
              <w:lastRenderedPageBreak/>
              <w:t>8-11 d.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2D1A" w:rsidRPr="00585346" w:rsidRDefault="00D63B8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3" w:history="1">
              <w:r w:rsidR="00FA092C" w:rsidRPr="00EB2330">
                <w:rPr>
                  <w:rStyle w:val="Hyperlink"/>
                </w:rPr>
                <w:t>https://www.facebook.com/11th-International-Doctoral-School-on-</w:t>
              </w:r>
              <w:r w:rsidR="00FA092C" w:rsidRPr="00EB2330">
                <w:rPr>
                  <w:rStyle w:val="Hyperlink"/>
                </w:rPr>
                <w:lastRenderedPageBreak/>
                <w:t>Education-Research-110174461508213</w:t>
              </w:r>
            </w:hyperlink>
          </w:p>
        </w:tc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2D1A" w:rsidRDefault="004B2D1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lastRenderedPageBreak/>
              <w:t>11 tarptautinis doktorantų konsorciumas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2D1A" w:rsidRDefault="00F376BC" w:rsidP="00FA231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Ugdymo mokslų institutas (FSF), </w:t>
            </w:r>
            <w:r w:rsidR="00AD0351">
              <w:rPr>
                <w:rFonts w:eastAsia="Calibri" w:cstheme="minorHAnsi"/>
                <w:lang w:val="lt-LT"/>
              </w:rPr>
              <w:t>DMSTI</w:t>
            </w:r>
            <w:r>
              <w:rPr>
                <w:rFonts w:eastAsia="Calibri" w:cstheme="minorHAnsi"/>
                <w:lang w:val="lt-LT"/>
              </w:rPr>
              <w:t xml:space="preserve"> (MIF)</w:t>
            </w:r>
          </w:p>
        </w:tc>
      </w:tr>
      <w:tr w:rsidR="006B18BA" w:rsidRPr="00585346" w:rsidTr="001B166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8BA" w:rsidRPr="00585346" w:rsidRDefault="001B16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lastRenderedPageBreak/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8BA" w:rsidRPr="00585346" w:rsidRDefault="00F376BC" w:rsidP="00FA231F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Singapūras, 2021 m. birželio 21-22 d.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8D" w:rsidRPr="00585346" w:rsidRDefault="0026108D" w:rsidP="0026108D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4" w:history="1">
              <w:r w:rsidRPr="00CF3678">
                <w:rPr>
                  <w:rStyle w:val="Hyperlink"/>
                  <w:rFonts w:eastAsia="Calibri" w:cstheme="minorHAnsi"/>
                  <w:lang w:val="lt-LT"/>
                </w:rPr>
                <w:t>https://ioinformatics.org/page/ioi-conference/45</w:t>
              </w:r>
            </w:hyperlink>
          </w:p>
        </w:tc>
        <w:tc>
          <w:tcPr>
            <w:tcW w:w="5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8BA" w:rsidRDefault="006B18B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IOI</w:t>
            </w:r>
            <w:r w:rsidR="00FA231F">
              <w:rPr>
                <w:rFonts w:eastAsia="Calibri" w:cstheme="minorHAnsi"/>
                <w:lang w:val="lt-LT"/>
              </w:rPr>
              <w:t xml:space="preserve"> – Tarptautinės informatikos olimpiados konferencija (Singapūras, nuotoliniu būdu)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8BA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DMSTI (MIF) ir UMI (FSF)</w:t>
            </w: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11. </w:t>
      </w:r>
      <w:r w:rsidR="000B6DB8" w:rsidRPr="002A6158">
        <w:rPr>
          <w:rFonts w:cstheme="minorHAnsi"/>
          <w:b/>
          <w:lang w:val="lt-LT"/>
        </w:rPr>
        <w:t>T</w:t>
      </w:r>
      <w:r w:rsidRPr="002A6158">
        <w:rPr>
          <w:rFonts w:cstheme="minorHAnsi"/>
          <w:b/>
          <w:lang w:val="lt-LT"/>
        </w:rPr>
        <w:t>yrėjų svarbiausi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narys</w:t>
      </w:r>
      <w:r w:rsidR="000B6DB8" w:rsidRPr="002A6158">
        <w:rPr>
          <w:rFonts w:cstheme="minorHAnsi"/>
          <w:b/>
          <w:lang w:val="lt-LT"/>
        </w:rPr>
        <w:t>tės</w:t>
      </w:r>
      <w:r w:rsidRPr="002A6158">
        <w:rPr>
          <w:rFonts w:cstheme="minorHAnsi"/>
          <w:b/>
          <w:lang w:val="lt-LT"/>
        </w:rPr>
        <w:t xml:space="preserve"> mokslinių žurnalų redakcinėse kolegijose 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2101"/>
        <w:gridCol w:w="1334"/>
        <w:gridCol w:w="4861"/>
        <w:gridCol w:w="3875"/>
        <w:gridCol w:w="2028"/>
      </w:tblGrid>
      <w:tr w:rsidR="009C6A45" w:rsidRPr="002A6158" w:rsidTr="009E21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Periodo pr</w:t>
            </w:r>
            <w:r w:rsidR="009C6A45" w:rsidRPr="002A6158">
              <w:rPr>
                <w:rFonts w:eastAsia="Calibri" w:cstheme="minorHAnsi"/>
                <w:lang w:val="lt-LT"/>
              </w:rPr>
              <w:t>adžia</w:t>
            </w:r>
            <w:r w:rsidRPr="00585346">
              <w:rPr>
                <w:rFonts w:eastAsia="Calibri" w:cstheme="minorHAnsi"/>
                <w:lang w:val="lt-LT"/>
              </w:rPr>
              <w:t xml:space="preserve"> </w:t>
            </w:r>
            <w:r w:rsidR="009C6A45" w:rsidRPr="002A6158">
              <w:rPr>
                <w:rFonts w:eastAsia="Calibri" w:cstheme="minorHAnsi"/>
                <w:lang w:val="lt-LT"/>
              </w:rPr>
              <w:t xml:space="preserve">– </w:t>
            </w:r>
            <w:r w:rsidRPr="00585346">
              <w:rPr>
                <w:rFonts w:eastAsia="Calibri" w:cstheme="minorHAnsi"/>
                <w:lang w:val="lt-LT"/>
              </w:rPr>
              <w:t>pabaiga</w:t>
            </w:r>
            <w:r w:rsidR="009C6A45" w:rsidRPr="002A6158">
              <w:rPr>
                <w:rStyle w:val="FootnoteReference"/>
                <w:rFonts w:eastAsia="Calibri" w:cstheme="minorHAnsi"/>
                <w:lang w:val="lt-LT"/>
              </w:rPr>
              <w:footnoteReference w:id="1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Nuoroda į žurnalą (URL)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Žurnalas (pavadinimas ir leidykla)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Pozicija redakcinėje kolegijoje</w:t>
            </w:r>
          </w:p>
        </w:tc>
      </w:tr>
      <w:tr w:rsidR="009E2118" w:rsidRPr="002A6158" w:rsidTr="009E21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4F19D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9B1BE1" w:rsidRDefault="004F19D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  <w:r w:rsidRPr="00AD0351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2002-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0351">
              <w:rPr>
                <w:rFonts w:eastAsia="Calibri" w:cstheme="minorHAnsi"/>
                <w:lang w:val="lt-LT"/>
              </w:rPr>
              <w:t>https://infedu.vu.lt/journal/INFEDU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Informatics in Education</w:t>
            </w:r>
          </w:p>
          <w:p w:rsidR="001F727B" w:rsidRPr="001F727B" w:rsidRDefault="001F727B" w:rsidP="001F727B">
            <w:pPr>
              <w:pStyle w:val="CommentText"/>
              <w:spacing w:line="180" w:lineRule="exac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72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Per metus išleisti 4 numeriai, vienas jų specialus. Iš viso publikuota 30 straipsnių. Per 2021 metus gauti 175 straipsniai (dar ne galutinis skaičius).</w:t>
            </w:r>
          </w:p>
          <w:p w:rsidR="001F727B" w:rsidRPr="001F727B" w:rsidRDefault="001F727B" w:rsidP="001F727B">
            <w:pPr>
              <w:pStyle w:val="CommentText"/>
              <w:spacing w:line="180" w:lineRule="exac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1F727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Scopus</w:t>
            </w:r>
            <w:proofErr w:type="spellEnd"/>
            <w:r w:rsidRPr="001F72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duomenų bazės citavimo rodiklis 3.3 (2020 metų), preliminarus 2021 metų – 3.8.</w:t>
            </w:r>
          </w:p>
          <w:p w:rsidR="001F727B" w:rsidRPr="00585346" w:rsidRDefault="001F727B" w:rsidP="001F727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180" w:lineRule="exact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1F727B">
              <w:rPr>
                <w:rFonts w:cstheme="minorHAnsi"/>
                <w:i/>
                <w:color w:val="000000"/>
                <w:sz w:val="20"/>
                <w:szCs w:val="20"/>
                <w:lang w:val="lt-LT"/>
              </w:rPr>
              <w:t>WoS</w:t>
            </w:r>
            <w:proofErr w:type="spellEnd"/>
            <w:r w:rsidRPr="001F727B">
              <w:rPr>
                <w:rFonts w:cstheme="minorHAnsi"/>
                <w:color w:val="00000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1F727B">
              <w:rPr>
                <w:rFonts w:cstheme="minorHAnsi"/>
                <w:color w:val="000000"/>
                <w:sz w:val="20"/>
                <w:szCs w:val="20"/>
                <w:lang w:val="lt-LT"/>
              </w:rPr>
              <w:t>Journal</w:t>
            </w:r>
            <w:proofErr w:type="spellEnd"/>
            <w:r w:rsidRPr="001F727B">
              <w:rPr>
                <w:rFonts w:cstheme="minorHAnsi"/>
                <w:color w:val="00000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1F727B">
              <w:rPr>
                <w:rFonts w:cstheme="minorHAnsi"/>
                <w:color w:val="000000"/>
                <w:sz w:val="20"/>
                <w:szCs w:val="20"/>
                <w:lang w:val="lt-LT"/>
              </w:rPr>
              <w:t>Citation</w:t>
            </w:r>
            <w:proofErr w:type="spellEnd"/>
            <w:r w:rsidRPr="001F727B">
              <w:rPr>
                <w:rFonts w:cstheme="minorHAnsi"/>
                <w:color w:val="00000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1F727B">
              <w:rPr>
                <w:rFonts w:cstheme="minorHAnsi"/>
                <w:color w:val="000000"/>
                <w:sz w:val="20"/>
                <w:szCs w:val="20"/>
                <w:lang w:val="lt-LT"/>
              </w:rPr>
              <w:t>Indicator</w:t>
            </w:r>
            <w:proofErr w:type="spellEnd"/>
            <w:r w:rsidRPr="001F727B">
              <w:rPr>
                <w:rFonts w:cstheme="minorHAnsi"/>
                <w:color w:val="000000"/>
                <w:sz w:val="20"/>
                <w:szCs w:val="20"/>
                <w:lang w:val="lt-LT"/>
              </w:rPr>
              <w:t xml:space="preserve"> 1</w:t>
            </w:r>
            <w:r w:rsidRPr="001F727B">
              <w:rPr>
                <w:rFonts w:cstheme="minorHAnsi"/>
                <w:color w:val="000000"/>
                <w:sz w:val="20"/>
                <w:szCs w:val="20"/>
              </w:rPr>
              <w:t>,</w:t>
            </w:r>
            <w:r w:rsidRPr="001F727B">
              <w:rPr>
                <w:rFonts w:cstheme="minorHAnsi"/>
                <w:color w:val="000000"/>
                <w:sz w:val="20"/>
                <w:szCs w:val="20"/>
                <w:lang w:val="lt-LT"/>
              </w:rPr>
              <w:t>24.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Vyr. redaktorė</w:t>
            </w:r>
          </w:p>
        </w:tc>
      </w:tr>
      <w:tr w:rsidR="004F19D1" w:rsidRPr="002A6158" w:rsidTr="009E21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585346" w:rsidRDefault="004F19D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AD0351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0351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585346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2006-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585346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0351">
              <w:rPr>
                <w:rFonts w:eastAsia="Calibri" w:cstheme="minorHAnsi"/>
                <w:lang w:val="lt-LT"/>
              </w:rPr>
              <w:t>https://ioinformatics.org/page/ioi-journal/1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585346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Olympiads in Informatics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585346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Vyr. redaktorė</w:t>
            </w:r>
          </w:p>
        </w:tc>
      </w:tr>
      <w:tr w:rsidR="00AD0351" w:rsidRPr="002A6158" w:rsidTr="009E21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51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51" w:rsidRPr="00AD0351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0351">
              <w:rPr>
                <w:rFonts w:eastAsia="Calibri" w:cstheme="minorHAnsi"/>
                <w:lang w:val="lt-LT"/>
              </w:rPr>
              <w:t>Gabrielė Stupurienė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51" w:rsidRPr="00585346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51" w:rsidRPr="00585346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0351">
              <w:rPr>
                <w:rFonts w:eastAsia="Calibri" w:cstheme="minorHAnsi"/>
                <w:lang w:val="lt-LT"/>
              </w:rPr>
              <w:t>https://infedu.vu.lt/journal/INFEDU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51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Informatics in Education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351" w:rsidRDefault="00AD0351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Vykdančioji redaktorė</w:t>
            </w:r>
          </w:p>
        </w:tc>
      </w:tr>
      <w:tr w:rsidR="007B3C2B" w:rsidRPr="002A6158" w:rsidTr="009E21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B" w:rsidRDefault="007B3C2B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B" w:rsidRPr="00AD0351" w:rsidRDefault="007B3C2B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B" w:rsidRPr="00585346" w:rsidRDefault="0026108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2008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B" w:rsidRPr="00AD0351" w:rsidRDefault="0026108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26108D">
              <w:rPr>
                <w:rFonts w:eastAsia="Calibri" w:cstheme="minorHAnsi"/>
                <w:lang w:val="lt-LT"/>
              </w:rPr>
              <w:t>https://www.bjmc.lu.lv/editorial-board/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B" w:rsidRDefault="007B3C2B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1E03BB">
              <w:rPr>
                <w:sz w:val="20"/>
                <w:szCs w:val="20"/>
              </w:rPr>
              <w:t>Baltic Journal of Modern Computing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B" w:rsidRDefault="007B3C2B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Srities redaktorė (didaktika)</w:t>
            </w:r>
          </w:p>
        </w:tc>
      </w:tr>
      <w:tr w:rsidR="00F376BC" w:rsidRPr="002A6158" w:rsidTr="009E21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Default="00F376B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Default="00F376B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Pr="00585346" w:rsidRDefault="00F376B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Pr="00AD0351" w:rsidRDefault="00F376B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F376BC">
              <w:rPr>
                <w:rFonts w:eastAsia="Calibri" w:cstheme="minorHAnsi"/>
                <w:lang w:val="lt-LT"/>
              </w:rPr>
              <w:t>https://www.mdpi.com/journal/informatics/editors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Pr="001E03BB" w:rsidRDefault="00F376B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Informatics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Default="00F376B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narė</w:t>
            </w: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C6A45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12. </w:t>
      </w:r>
      <w:r w:rsidR="000B6DB8" w:rsidRPr="002A6158">
        <w:rPr>
          <w:rFonts w:cstheme="minorHAnsi"/>
          <w:b/>
          <w:lang w:val="lt-LT"/>
        </w:rPr>
        <w:t>T</w:t>
      </w:r>
      <w:r w:rsidRPr="002A6158">
        <w:rPr>
          <w:rFonts w:cstheme="minorHAnsi"/>
          <w:b/>
          <w:lang w:val="lt-LT"/>
        </w:rPr>
        <w:t>yrėjų svarbiausių narysčių tarptautinėse darbo grupėse, asociacijose ir pan. sąrašas</w:t>
      </w:r>
    </w:p>
    <w:tbl>
      <w:tblPr>
        <w:tblW w:w="147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1916"/>
        <w:gridCol w:w="959"/>
        <w:gridCol w:w="4259"/>
        <w:gridCol w:w="2561"/>
        <w:gridCol w:w="1565"/>
        <w:gridCol w:w="2960"/>
      </w:tblGrid>
      <w:tr w:rsidR="009C6A45" w:rsidRPr="002A6158" w:rsidTr="00FA092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2A6158">
            <w:pPr>
              <w:keepNext/>
              <w:widowControl w:val="0"/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Periodo </w:t>
            </w:r>
            <w:r w:rsidR="009C6A45" w:rsidRPr="002A6158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pradžia –pabaiga</w:t>
            </w:r>
            <w:r w:rsidR="002A6158"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Narystę patvirtinanti nuoroda (URL) ir (arba) prisegamas dokumentas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Tarptautinė darbo grupė, asociacija, ekspertų grupė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ir (ar) pozicija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Kita informacija apie narystę</w:t>
            </w:r>
          </w:p>
        </w:tc>
      </w:tr>
      <w:tr w:rsidR="000B6DB8" w:rsidRPr="002A6158" w:rsidTr="00FA092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4F19D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AD0351" w:rsidRDefault="004F19D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0351">
              <w:rPr>
                <w:rFonts w:eastAsia="Calibri" w:cstheme="minorHAnsi"/>
                <w:lang w:val="lt-LT"/>
              </w:rPr>
              <w:t>Valentina Dagienė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4B2D1A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2000-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4B2D1A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24BE7">
              <w:rPr>
                <w:rFonts w:eastAsia="Calibri" w:cstheme="minorHAnsi"/>
                <w:lang w:val="lt-LT"/>
              </w:rPr>
              <w:t>https://www.ifip-tc3.org/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4B2D1A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IFIP TC 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4B2D1A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Komiteto narė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4F19D1" w:rsidRPr="002A6158" w:rsidTr="00FA092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2A6158" w:rsidRDefault="004F19D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E24BE7" w:rsidRDefault="004F19D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24BE7">
              <w:rPr>
                <w:rFonts w:eastAsia="Calibri" w:cstheme="minorHAnsi"/>
                <w:lang w:val="lt-LT"/>
              </w:rPr>
              <w:t>Tatjana Jevsikova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E24BE7" w:rsidRDefault="00560D7C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24BE7">
              <w:rPr>
                <w:rFonts w:eastAsia="Calibri" w:cstheme="minorHAnsi"/>
                <w:lang w:val="lt-LT"/>
              </w:rPr>
              <w:t>2007–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E24BE7" w:rsidRDefault="00560D7C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24BE7">
              <w:rPr>
                <w:rFonts w:eastAsia="Calibri" w:cstheme="minorHAnsi"/>
                <w:lang w:val="lt-LT"/>
              </w:rPr>
              <w:t>https://www.ifip-tc3.org/working-groups/working-group-3-1/members/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E24BE7" w:rsidRDefault="00560D7C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E24BE7">
              <w:rPr>
                <w:sz w:val="20"/>
                <w:szCs w:val="20"/>
              </w:rPr>
              <w:t>IFIP WG 3.1 (Informatics for Secondary Education)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E24BE7" w:rsidRDefault="00560D7C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E24BE7">
              <w:rPr>
                <w:sz w:val="20"/>
                <w:szCs w:val="20"/>
              </w:rPr>
              <w:t>Tarptautinės</w:t>
            </w:r>
            <w:proofErr w:type="spellEnd"/>
            <w:r w:rsidRPr="00E24BE7">
              <w:rPr>
                <w:sz w:val="20"/>
                <w:szCs w:val="20"/>
              </w:rPr>
              <w:t xml:space="preserve"> </w:t>
            </w:r>
            <w:proofErr w:type="spellStart"/>
            <w:r w:rsidRPr="00E24BE7">
              <w:rPr>
                <w:sz w:val="20"/>
                <w:szCs w:val="20"/>
              </w:rPr>
              <w:t>darbo</w:t>
            </w:r>
            <w:proofErr w:type="spellEnd"/>
            <w:r w:rsidRPr="00E24BE7">
              <w:rPr>
                <w:sz w:val="20"/>
                <w:szCs w:val="20"/>
              </w:rPr>
              <w:t xml:space="preserve"> </w:t>
            </w:r>
            <w:proofErr w:type="spellStart"/>
            <w:r w:rsidRPr="00E24BE7">
              <w:rPr>
                <w:sz w:val="20"/>
                <w:szCs w:val="20"/>
              </w:rPr>
              <w:t>grupės</w:t>
            </w:r>
            <w:proofErr w:type="spellEnd"/>
            <w:r w:rsidRPr="00E24BE7">
              <w:rPr>
                <w:sz w:val="20"/>
                <w:szCs w:val="20"/>
              </w:rPr>
              <w:t xml:space="preserve"> </w:t>
            </w:r>
            <w:proofErr w:type="spellStart"/>
            <w:r w:rsidRPr="00E24BE7">
              <w:rPr>
                <w:sz w:val="20"/>
                <w:szCs w:val="20"/>
              </w:rPr>
              <w:t>narė</w:t>
            </w:r>
            <w:proofErr w:type="spellEnd"/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2A6158" w:rsidRDefault="004F19D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4F19D1" w:rsidRPr="002A6158" w:rsidTr="00FA092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2A6158" w:rsidRDefault="000A60C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3.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2A6158" w:rsidRDefault="000A60C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Vladimiras Dolgopolovas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2A6158" w:rsidRDefault="000A60C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Dabar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0C1" w:rsidRPr="000A60C1" w:rsidRDefault="000A60C1" w:rsidP="000A60C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0A60C1">
              <w:rPr>
                <w:rFonts w:eastAsia="Calibri" w:cstheme="minorHAnsi"/>
                <w:lang w:val="lt-LT"/>
              </w:rPr>
              <w:t>European</w:t>
            </w:r>
            <w:proofErr w:type="spellEnd"/>
            <w:r w:rsidRPr="000A60C1">
              <w:rPr>
                <w:rFonts w:eastAsia="Calibri" w:cstheme="minorHAnsi"/>
                <w:lang w:val="lt-LT"/>
              </w:rPr>
              <w:t xml:space="preserve"> AI </w:t>
            </w:r>
            <w:proofErr w:type="spellStart"/>
            <w:r w:rsidRPr="000A60C1">
              <w:rPr>
                <w:rFonts w:eastAsia="Calibri" w:cstheme="minorHAnsi"/>
                <w:lang w:val="lt-LT"/>
              </w:rPr>
              <w:t>Alliance</w:t>
            </w:r>
            <w:proofErr w:type="spellEnd"/>
          </w:p>
          <w:p w:rsidR="000A60C1" w:rsidRPr="000A60C1" w:rsidRDefault="000A60C1" w:rsidP="000A60C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A60C1">
              <w:rPr>
                <w:rFonts w:eastAsia="Calibri" w:cstheme="minorHAnsi"/>
                <w:lang w:val="lt-LT"/>
              </w:rPr>
              <w:t>https://futurium.ec.europa.eu/en/european-ai-alliance</w:t>
            </w:r>
          </w:p>
          <w:p w:rsidR="000A60C1" w:rsidRPr="000A60C1" w:rsidRDefault="000A60C1" w:rsidP="000A60C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A60C1">
              <w:rPr>
                <w:rFonts w:eastAsia="Calibri" w:cstheme="minorHAnsi"/>
                <w:lang w:val="lt-LT"/>
              </w:rPr>
              <w:t>ir</w:t>
            </w:r>
          </w:p>
          <w:p w:rsidR="000A60C1" w:rsidRPr="000A60C1" w:rsidRDefault="000A60C1" w:rsidP="000A60C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A60C1">
              <w:rPr>
                <w:rFonts w:eastAsia="Calibri" w:cstheme="minorHAnsi"/>
                <w:lang w:val="lt-LT"/>
              </w:rPr>
              <w:t xml:space="preserve">USERN: Universal Scientific Education and </w:t>
            </w:r>
            <w:proofErr w:type="spellStart"/>
            <w:r w:rsidRPr="000A60C1">
              <w:rPr>
                <w:rFonts w:eastAsia="Calibri" w:cstheme="minorHAnsi"/>
                <w:lang w:val="lt-LT"/>
              </w:rPr>
              <w:t>Research</w:t>
            </w:r>
            <w:proofErr w:type="spellEnd"/>
            <w:r w:rsidRPr="000A60C1">
              <w:rPr>
                <w:rFonts w:eastAsia="Calibri" w:cstheme="minorHAnsi"/>
                <w:lang w:val="lt-LT"/>
              </w:rPr>
              <w:t xml:space="preserve"> Network</w:t>
            </w:r>
          </w:p>
          <w:p w:rsidR="004F19D1" w:rsidRPr="002A6158" w:rsidRDefault="000A60C1" w:rsidP="000A60C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A60C1">
              <w:rPr>
                <w:rFonts w:eastAsia="Calibri" w:cstheme="minorHAnsi"/>
                <w:lang w:val="lt-LT"/>
              </w:rPr>
              <w:lastRenderedPageBreak/>
              <w:t>https://usern.tums.ac.ir/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0C1" w:rsidRPr="000A60C1" w:rsidRDefault="000A60C1" w:rsidP="000A60C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0A60C1">
              <w:rPr>
                <w:rFonts w:eastAsia="Calibri" w:cstheme="minorHAnsi"/>
                <w:lang w:val="lt-LT"/>
              </w:rPr>
              <w:lastRenderedPageBreak/>
              <w:t>European</w:t>
            </w:r>
            <w:proofErr w:type="spellEnd"/>
            <w:r w:rsidRPr="000A60C1">
              <w:rPr>
                <w:rFonts w:eastAsia="Calibri" w:cstheme="minorHAnsi"/>
                <w:lang w:val="lt-LT"/>
              </w:rPr>
              <w:t xml:space="preserve"> AI </w:t>
            </w:r>
            <w:proofErr w:type="spellStart"/>
            <w:r w:rsidRPr="000A60C1">
              <w:rPr>
                <w:rFonts w:eastAsia="Calibri" w:cstheme="minorHAnsi"/>
                <w:lang w:val="lt-LT"/>
              </w:rPr>
              <w:t>Alliance</w:t>
            </w:r>
            <w:proofErr w:type="spellEnd"/>
          </w:p>
          <w:p w:rsidR="000A60C1" w:rsidRDefault="000A60C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  <w:p w:rsidR="004F19D1" w:rsidRPr="002A6158" w:rsidRDefault="000A60C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A60C1">
              <w:rPr>
                <w:rFonts w:eastAsia="Calibri" w:cstheme="minorHAnsi"/>
                <w:lang w:val="lt-LT"/>
              </w:rPr>
              <w:t xml:space="preserve">USERN: Universal Scientific Education and </w:t>
            </w:r>
            <w:proofErr w:type="spellStart"/>
            <w:r w:rsidRPr="000A60C1">
              <w:rPr>
                <w:rFonts w:eastAsia="Calibri" w:cstheme="minorHAnsi"/>
                <w:lang w:val="lt-LT"/>
              </w:rPr>
              <w:t>Research</w:t>
            </w:r>
            <w:proofErr w:type="spellEnd"/>
            <w:r w:rsidRPr="000A60C1">
              <w:rPr>
                <w:rFonts w:eastAsia="Calibri" w:cstheme="minorHAnsi"/>
                <w:lang w:val="lt-LT"/>
              </w:rPr>
              <w:t xml:space="preserve"> Network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2A6158" w:rsidRDefault="000A60C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9D1" w:rsidRPr="002A6158" w:rsidRDefault="004F19D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9E2118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13. Bendradarbiavimo su mokslo ir ūkio subjektais susitarimai</w:t>
      </w:r>
    </w:p>
    <w:tbl>
      <w:tblPr>
        <w:tblW w:w="147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127"/>
        <w:gridCol w:w="3827"/>
        <w:gridCol w:w="1701"/>
        <w:gridCol w:w="1559"/>
        <w:gridCol w:w="1443"/>
        <w:gridCol w:w="3523"/>
      </w:tblGrid>
      <w:tr w:rsidR="00C86CAA" w:rsidRPr="00CF2BFE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2A615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galiojimo termino pradžia ir pabaiga</w:t>
            </w:r>
            <w:r w:rsidR="002A6158"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Mokslo-ūkio subjekto bendradarbiavimo susitarimas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šalys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tikslas ir sritys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Šalių įnašai (piniginiai ir nepiniginiai)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Gautų rezultatų pasidalijimo būdas, paaiškinimas</w:t>
            </w:r>
          </w:p>
        </w:tc>
      </w:tr>
      <w:tr w:rsidR="00585346" w:rsidRPr="00CF2BFE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585346" w:rsidRPr="002A6158" w:rsidRDefault="00585346" w:rsidP="00C86CAA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14. Svarbiausi mokslo populiarinimo veiklos rezultatai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"/>
        <w:gridCol w:w="4392"/>
        <w:gridCol w:w="4747"/>
        <w:gridCol w:w="5048"/>
      </w:tblGrid>
      <w:tr w:rsidR="00D43E84" w:rsidRPr="00585346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Mokslo populiarinimo veikla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Mokslo populiarinimo veiklą patvirtinanti nuoroda (URL) </w:t>
            </w:r>
            <w:r w:rsidR="00723C32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ir (arba) prisegamas dokumentas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Paaiškinimas</w:t>
            </w:r>
          </w:p>
        </w:tc>
      </w:tr>
      <w:tr w:rsidR="007F0ACA" w:rsidRPr="00CF2BFE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ACA" w:rsidRPr="00585346" w:rsidRDefault="005D55D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ACA" w:rsidRPr="007754A2" w:rsidRDefault="007B3C2B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Informatinio mąstymo konkursas „Bebras“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B" w:rsidRPr="007B3C2B" w:rsidRDefault="00D63B80" w:rsidP="007B3C2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5" w:history="1">
              <w:r w:rsidR="007B3C2B" w:rsidRPr="004A42D7">
                <w:rPr>
                  <w:rStyle w:val="Hyperlink"/>
                  <w:rFonts w:eastAsia="Calibri" w:cstheme="minorHAnsi"/>
                  <w:lang w:val="lt-LT"/>
                </w:rPr>
                <w:t>www.bebras.org</w:t>
              </w:r>
            </w:hyperlink>
            <w:r w:rsidR="007B3C2B">
              <w:rPr>
                <w:rFonts w:eastAsia="Calibri" w:cstheme="minorHAnsi"/>
                <w:lang w:val="lt-LT"/>
              </w:rPr>
              <w:t xml:space="preserve">; </w:t>
            </w:r>
            <w:hyperlink r:id="rId16" w:history="1">
              <w:r w:rsidR="007B3C2B" w:rsidRPr="004A42D7">
                <w:rPr>
                  <w:rStyle w:val="Hyperlink"/>
                  <w:rFonts w:eastAsia="Calibri" w:cstheme="minorHAnsi"/>
                  <w:lang w:val="lt-LT"/>
                </w:rPr>
                <w:t>www.bebras.lt</w:t>
              </w:r>
            </w:hyperlink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ACA" w:rsidRPr="007B3C2B" w:rsidRDefault="007F0AC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C646F2" w:rsidRPr="00C646F2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F2" w:rsidRPr="00585346" w:rsidRDefault="005D55D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F2" w:rsidRPr="005D55D2" w:rsidRDefault="007F0AC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5D55D2">
              <w:rPr>
                <w:rFonts w:eastAsia="Calibri" w:cstheme="minorHAnsi"/>
                <w:lang w:val="lt-LT"/>
              </w:rPr>
              <w:t>Parengtos metodinės rekomendacijos ikimokyklinio ugdymo pedagogams „Žaismė ir atradimai</w:t>
            </w:r>
            <w:r w:rsidR="004A14CA" w:rsidRPr="005D55D2">
              <w:rPr>
                <w:rFonts w:eastAsia="Calibri" w:cstheme="minorHAnsi"/>
                <w:lang w:val="lt-LT"/>
              </w:rPr>
              <w:t>“</w:t>
            </w:r>
            <w:r w:rsidR="00A742E1" w:rsidRPr="005D55D2">
              <w:rPr>
                <w:rFonts w:eastAsia="Calibri" w:cstheme="minorHAnsi"/>
                <w:lang w:val="lt-LT"/>
              </w:rPr>
              <w:t>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F2" w:rsidRPr="005D55D2" w:rsidRDefault="00A742E1" w:rsidP="00A742E1">
            <w:pPr>
              <w:spacing w:after="0"/>
            </w:pPr>
            <w:proofErr w:type="spellStart"/>
            <w:r w:rsidRPr="005D55D2">
              <w:t>eISBN</w:t>
            </w:r>
            <w:proofErr w:type="spellEnd"/>
            <w:r w:rsidRPr="005D55D2">
              <w:t xml:space="preserve"> 978-609-454-603-7</w:t>
            </w:r>
          </w:p>
          <w:p w:rsidR="00D43E84" w:rsidRPr="005D55D2" w:rsidRDefault="00D43E84" w:rsidP="00A742E1">
            <w:pPr>
              <w:spacing w:after="0"/>
            </w:pPr>
            <w:r w:rsidRPr="005D55D2">
              <w:t>ISBN 978-609-454-587-0</w:t>
            </w:r>
          </w:p>
          <w:p w:rsidR="00D43E84" w:rsidRPr="005D55D2" w:rsidRDefault="00D43E84" w:rsidP="00A742E1">
            <w:pPr>
              <w:spacing w:after="0"/>
              <w:rPr>
                <w:rFonts w:eastAsia="Calibri" w:cstheme="minorHAnsi"/>
                <w:lang w:val="lt-LT"/>
              </w:rPr>
            </w:pPr>
            <w:r w:rsidRPr="005D55D2">
              <w:rPr>
                <w:rFonts w:eastAsia="Calibri" w:cstheme="minorHAnsi"/>
                <w:lang w:val="lt-LT"/>
              </w:rPr>
              <w:t>(nuorodos internete bus paskelbtos 2021 m. gruodžio mėn.</w:t>
            </w:r>
            <w:r w:rsidR="004A14CA" w:rsidRPr="005D55D2">
              <w:rPr>
                <w:rFonts w:eastAsia="Calibri" w:cstheme="minorHAnsi"/>
                <w:lang w:val="lt-LT"/>
              </w:rPr>
              <w:t xml:space="preserve"> antroje pusėje</w:t>
            </w:r>
            <w:r w:rsidRPr="005D55D2">
              <w:rPr>
                <w:rFonts w:eastAsia="Calibri" w:cstheme="minorHAnsi"/>
                <w:lang w:val="lt-LT"/>
              </w:rPr>
              <w:t>)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E84" w:rsidRPr="005D55D2" w:rsidRDefault="007F0ACA" w:rsidP="00D43E84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5D55D2">
              <w:rPr>
                <w:rFonts w:eastAsia="Calibri" w:cstheme="minorHAnsi"/>
                <w:lang w:val="lt-LT"/>
              </w:rPr>
              <w:t xml:space="preserve">Tatjana Jevsikova yra 2021 m. </w:t>
            </w:r>
            <w:r w:rsidR="00A742E1" w:rsidRPr="005D55D2">
              <w:rPr>
                <w:rFonts w:eastAsia="Calibri" w:cstheme="minorHAnsi"/>
                <w:lang w:val="lt-LT"/>
              </w:rPr>
              <w:t xml:space="preserve">gruodžio mėn. </w:t>
            </w:r>
            <w:r w:rsidRPr="005D55D2">
              <w:rPr>
                <w:rFonts w:eastAsia="Calibri" w:cstheme="minorHAnsi"/>
                <w:lang w:val="lt-LT"/>
              </w:rPr>
              <w:t>išleisto leidinio</w:t>
            </w:r>
            <w:r w:rsidR="00D43E84" w:rsidRPr="005D55D2">
              <w:rPr>
                <w:rFonts w:eastAsia="Calibri" w:cstheme="minorHAnsi"/>
                <w:lang w:val="lt-LT"/>
              </w:rPr>
              <w:t xml:space="preserve"> bendraautorė, kuriame atskleistos informatinio mąstymo ir skaitmeninio raštingumo ugdymo metodinės rekomendacijos:</w:t>
            </w:r>
          </w:p>
          <w:p w:rsidR="00D43E84" w:rsidRPr="005D55D2" w:rsidRDefault="00D43E84" w:rsidP="00D43E84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5D55D2">
              <w:rPr>
                <w:rFonts w:eastAsia="Calibri" w:cstheme="minorHAnsi"/>
                <w:lang w:val="lt-LT"/>
              </w:rPr>
              <w:t>O. Monkevičienė, R. Gruodytė-</w:t>
            </w:r>
            <w:proofErr w:type="spellStart"/>
            <w:r w:rsidRPr="005D55D2">
              <w:rPr>
                <w:rFonts w:eastAsia="Calibri" w:cstheme="minorHAnsi"/>
                <w:lang w:val="lt-LT"/>
              </w:rPr>
              <w:t>Račienė</w:t>
            </w:r>
            <w:proofErr w:type="spellEnd"/>
            <w:r w:rsidRPr="005D55D2">
              <w:rPr>
                <w:rFonts w:eastAsia="Calibri" w:cstheme="minorHAnsi"/>
                <w:lang w:val="lt-LT"/>
              </w:rPr>
              <w:t xml:space="preserve">, T. Jevsikova, L. </w:t>
            </w:r>
            <w:proofErr w:type="spellStart"/>
            <w:r w:rsidRPr="005D55D2">
              <w:rPr>
                <w:rFonts w:eastAsia="Calibri" w:cstheme="minorHAnsi"/>
                <w:lang w:val="lt-LT"/>
              </w:rPr>
              <w:t>Kleniauskas</w:t>
            </w:r>
            <w:proofErr w:type="spellEnd"/>
            <w:r w:rsidRPr="005D55D2">
              <w:rPr>
                <w:rFonts w:eastAsia="Calibri" w:cstheme="minorHAnsi"/>
                <w:lang w:val="lt-LT"/>
              </w:rPr>
              <w:t xml:space="preserve">, E. </w:t>
            </w:r>
            <w:proofErr w:type="spellStart"/>
            <w:r w:rsidRPr="005D55D2">
              <w:rPr>
                <w:rFonts w:eastAsia="Calibri" w:cstheme="minorHAnsi"/>
                <w:lang w:val="lt-LT"/>
              </w:rPr>
              <w:t>Krivickaitė-Leišienė</w:t>
            </w:r>
            <w:proofErr w:type="spellEnd"/>
            <w:r w:rsidRPr="005D55D2">
              <w:rPr>
                <w:rFonts w:eastAsia="Calibri" w:cstheme="minorHAnsi"/>
                <w:lang w:val="lt-LT"/>
              </w:rPr>
              <w:t xml:space="preserve">, A. Lapėnienė, S. </w:t>
            </w:r>
            <w:proofErr w:type="spellStart"/>
            <w:r w:rsidRPr="005D55D2">
              <w:rPr>
                <w:rFonts w:eastAsia="Calibri" w:cstheme="minorHAnsi"/>
                <w:lang w:val="lt-LT"/>
              </w:rPr>
              <w:t>Latvėnaitė-Kričenienė</w:t>
            </w:r>
            <w:proofErr w:type="spellEnd"/>
            <w:r w:rsidRPr="005D55D2">
              <w:rPr>
                <w:rFonts w:eastAsia="Calibri" w:cstheme="minorHAnsi"/>
                <w:lang w:val="lt-LT"/>
              </w:rPr>
              <w:t xml:space="preserve">, R. Makarskaitė-Petkevičienė, L. </w:t>
            </w:r>
            <w:proofErr w:type="spellStart"/>
            <w:r w:rsidRPr="005D55D2">
              <w:rPr>
                <w:rFonts w:eastAsia="Calibri" w:cstheme="minorHAnsi"/>
                <w:lang w:val="lt-LT"/>
              </w:rPr>
              <w:t>Neverauskienė</w:t>
            </w:r>
            <w:proofErr w:type="spellEnd"/>
            <w:r w:rsidRPr="005D55D2">
              <w:rPr>
                <w:rFonts w:eastAsia="Calibri" w:cstheme="minorHAnsi"/>
                <w:lang w:val="lt-LT"/>
              </w:rPr>
              <w:t xml:space="preserve">, V. </w:t>
            </w:r>
            <w:proofErr w:type="spellStart"/>
            <w:r w:rsidRPr="005D55D2">
              <w:rPr>
                <w:rFonts w:eastAsia="Calibri" w:cstheme="minorHAnsi"/>
                <w:lang w:val="lt-LT"/>
              </w:rPr>
              <w:t>Sičiūnienė</w:t>
            </w:r>
            <w:proofErr w:type="spellEnd"/>
            <w:r w:rsidRPr="005D55D2">
              <w:rPr>
                <w:rFonts w:eastAsia="Calibri" w:cstheme="minorHAnsi"/>
                <w:lang w:val="lt-LT"/>
              </w:rPr>
              <w:t>, V. Stupurienė</w:t>
            </w:r>
            <w:r w:rsidR="007F0ACA" w:rsidRPr="005D55D2">
              <w:rPr>
                <w:rFonts w:eastAsia="Calibri" w:cstheme="minorHAnsi"/>
                <w:lang w:val="lt-LT"/>
              </w:rPr>
              <w:t xml:space="preserve"> „Žaismė ir atradimai</w:t>
            </w:r>
            <w:r w:rsidR="00A742E1" w:rsidRPr="005D55D2">
              <w:rPr>
                <w:rFonts w:eastAsia="Calibri" w:cstheme="minorHAnsi"/>
                <w:lang w:val="lt-LT"/>
              </w:rPr>
              <w:t>. Rekomendacijos ikimokyklinio ugdymo pedagogui</w:t>
            </w:r>
            <w:r w:rsidR="007F0ACA" w:rsidRPr="005D55D2">
              <w:rPr>
                <w:rFonts w:eastAsia="Calibri" w:cstheme="minorHAnsi"/>
                <w:lang w:val="lt-LT"/>
              </w:rPr>
              <w:t>“</w:t>
            </w:r>
            <w:r w:rsidRPr="005D55D2">
              <w:rPr>
                <w:rFonts w:eastAsia="Calibri" w:cstheme="minorHAnsi"/>
                <w:lang w:val="lt-LT"/>
              </w:rPr>
              <w:t>. Nacionalinė švietimo agentūra, Vitae Litera, 2021.</w:t>
            </w:r>
          </w:p>
        </w:tc>
      </w:tr>
      <w:tr w:rsidR="00D43E84" w:rsidRPr="00CF2BFE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85346" w:rsidRDefault="005D55D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D55D2" w:rsidRDefault="00C646F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5D55D2">
              <w:rPr>
                <w:rFonts w:eastAsia="Calibri" w:cstheme="minorHAnsi"/>
                <w:lang w:val="lt-LT"/>
              </w:rPr>
              <w:t>Renginys: Rekomendacijų ikimokyklinio ugdymo pedagogams „Žaismė ir atradimai“ pristatymas</w:t>
            </w:r>
            <w:r w:rsidR="004A14CA" w:rsidRPr="005D55D2">
              <w:rPr>
                <w:rFonts w:eastAsia="Calibri" w:cstheme="minorHAnsi"/>
                <w:lang w:val="lt-LT"/>
              </w:rPr>
              <w:t>, 2021 m. gruodžio 9 d.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D55D2" w:rsidRDefault="00D63B8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7" w:history="1">
              <w:r w:rsidR="00C646F2" w:rsidRPr="005D55D2">
                <w:rPr>
                  <w:rStyle w:val="Hyperlink"/>
                  <w:rFonts w:eastAsia="Calibri" w:cstheme="minorHAnsi"/>
                  <w:lang w:val="lt-LT"/>
                </w:rPr>
                <w:t>https://www.nsa.smm.lt/renginys/rekomendaciju-ikimokyklinio-ugdymo-pedagogams-zaisme-ir-atradimai-pristatymas/</w:t>
              </w:r>
            </w:hyperlink>
          </w:p>
          <w:p w:rsidR="00C646F2" w:rsidRPr="005D55D2" w:rsidRDefault="00C646F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5D55D2">
              <w:rPr>
                <w:rFonts w:eastAsia="Calibri" w:cstheme="minorHAnsi"/>
                <w:lang w:val="lt-LT"/>
              </w:rPr>
              <w:t>Pridedama renginio programa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346" w:rsidRPr="005D55D2" w:rsidRDefault="00C646F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5D55D2">
              <w:rPr>
                <w:rFonts w:eastAsia="Calibri" w:cstheme="minorHAnsi"/>
                <w:lang w:val="lt-LT"/>
              </w:rPr>
              <w:t xml:space="preserve">Tatjana Jevsikova dalyvavo </w:t>
            </w:r>
            <w:r w:rsidR="004A14CA" w:rsidRPr="005D55D2">
              <w:rPr>
                <w:rFonts w:eastAsia="Calibri" w:cstheme="minorHAnsi"/>
                <w:lang w:val="lt-LT"/>
              </w:rPr>
              <w:t>rengiant</w:t>
            </w:r>
            <w:r w:rsidR="007F0ACA" w:rsidRPr="005D55D2">
              <w:rPr>
                <w:rFonts w:eastAsia="Calibri" w:cstheme="minorHAnsi"/>
                <w:lang w:val="lt-LT"/>
              </w:rPr>
              <w:t xml:space="preserve"> rekomendacijų ikimokyklinio ugdymo pedagogams</w:t>
            </w:r>
            <w:r w:rsidRPr="005D55D2">
              <w:rPr>
                <w:rFonts w:eastAsia="Calibri" w:cstheme="minorHAnsi"/>
                <w:lang w:val="lt-LT"/>
              </w:rPr>
              <w:t xml:space="preserve"> sklaidos renginį</w:t>
            </w:r>
            <w:r w:rsidR="007F0ACA" w:rsidRPr="005D55D2">
              <w:rPr>
                <w:rFonts w:eastAsia="Calibri" w:cstheme="minorHAnsi"/>
                <w:lang w:val="lt-LT"/>
              </w:rPr>
              <w:t>, kuriame dalyvavo apie 2000 dalyvių.</w:t>
            </w:r>
          </w:p>
        </w:tc>
      </w:tr>
      <w:tr w:rsidR="005D55D2" w:rsidRPr="00CF2BFE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5D2" w:rsidRPr="00585346" w:rsidRDefault="005D55D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5D2" w:rsidRPr="007754A2" w:rsidRDefault="005D55D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  <w:r w:rsidRPr="005D55D2">
              <w:rPr>
                <w:rFonts w:eastAsia="Calibri" w:cstheme="minorHAnsi"/>
                <w:lang w:val="lt-LT"/>
              </w:rPr>
              <w:t xml:space="preserve">11th International Doctoral </w:t>
            </w:r>
            <w:proofErr w:type="spellStart"/>
            <w:r w:rsidRPr="005D55D2">
              <w:rPr>
                <w:rFonts w:eastAsia="Calibri" w:cstheme="minorHAnsi"/>
                <w:lang w:val="lt-LT"/>
              </w:rPr>
              <w:t>School</w:t>
            </w:r>
            <w:proofErr w:type="spellEnd"/>
            <w:r w:rsidRPr="005D55D2">
              <w:rPr>
                <w:rFonts w:eastAsia="Calibri" w:cstheme="minorHAnsi"/>
                <w:lang w:val="lt-LT"/>
              </w:rPr>
              <w:t xml:space="preserve"> on Education </w:t>
            </w:r>
            <w:proofErr w:type="spellStart"/>
            <w:r w:rsidRPr="005D55D2">
              <w:rPr>
                <w:rFonts w:eastAsia="Calibri" w:cstheme="minorHAnsi"/>
                <w:lang w:val="lt-LT"/>
              </w:rPr>
              <w:t>Research</w:t>
            </w:r>
            <w:proofErr w:type="spellEnd"/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5D2" w:rsidRPr="00CF2BFE" w:rsidRDefault="00D63B8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lang w:val="lt-LT"/>
              </w:rPr>
            </w:pPr>
            <w:hyperlink r:id="rId18" w:history="1">
              <w:r w:rsidR="005D55D2" w:rsidRPr="00CF2BFE">
                <w:rPr>
                  <w:rStyle w:val="Hyperlink"/>
                  <w:lang w:val="lt-LT"/>
                </w:rPr>
                <w:t>https://www.facebook.com/11th-International-Doctoral-School-on-Education-Research-110174461508213</w:t>
              </w:r>
            </w:hyperlink>
            <w:r w:rsidR="005D55D2" w:rsidRPr="00CF2BFE">
              <w:rPr>
                <w:lang w:val="lt-LT"/>
              </w:rP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5D2" w:rsidRPr="007754A2" w:rsidRDefault="005D55D2" w:rsidP="005D55D2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  <w:r w:rsidRPr="005D55D2">
              <w:rPr>
                <w:rFonts w:eastAsia="Calibri" w:cstheme="minorHAnsi"/>
                <w:lang w:val="lt-LT"/>
              </w:rPr>
              <w:t xml:space="preserve">Doktorantų konsorciumas – tai draugiškas forumas doktorantams aptarti savo mokslinių tyrimų temas, tyrimo klausimus ir </w:t>
            </w:r>
            <w:r>
              <w:rPr>
                <w:rFonts w:eastAsia="Calibri" w:cstheme="minorHAnsi"/>
                <w:lang w:val="lt-LT"/>
              </w:rPr>
              <w:t>modeliavimą</w:t>
            </w:r>
            <w:r w:rsidRPr="005D55D2">
              <w:rPr>
                <w:rFonts w:eastAsia="Calibri" w:cstheme="minorHAnsi"/>
                <w:lang w:val="lt-LT"/>
              </w:rPr>
              <w:t xml:space="preserve"> švietimo srityje, gauti konstruktyvių atsiliepimų iš kolegų ir vyresniųjų mokslininkų, padėti pasirinkti tinkamą</w:t>
            </w:r>
            <w:r>
              <w:rPr>
                <w:rFonts w:eastAsia="Calibri" w:cstheme="minorHAnsi"/>
                <w:lang w:val="lt-LT"/>
              </w:rPr>
              <w:t xml:space="preserve"> tyrimo metodiką ir strategijas bei praplėsti mokslininkų bendradarbiavimo tinklą.</w:t>
            </w:r>
          </w:p>
        </w:tc>
      </w:tr>
      <w:tr w:rsidR="00F376BC" w:rsidRPr="00C646F2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Default="0026108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Pr="0026108D" w:rsidRDefault="001F4C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26108D">
              <w:rPr>
                <w:rFonts w:eastAsia="Calibri" w:cstheme="minorHAnsi"/>
                <w:lang w:val="lt-LT"/>
              </w:rPr>
              <w:t>Pradinio ugdymo informatikos programos (projekto) ugdymo gairių ir pagalbos mokytojui paketo parengimas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Pr="0026108D" w:rsidRDefault="00F376BC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Pr="0026108D" w:rsidRDefault="00CF2BFE" w:rsidP="005D55D2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26108D">
              <w:rPr>
                <w:rFonts w:eastAsia="Calibri" w:cstheme="minorHAnsi"/>
                <w:lang w:val="lt-LT"/>
              </w:rPr>
              <w:t xml:space="preserve">Valentina Dagienė ir Tatjana Jevsikova dalyvavo rengiant metodinę medžiagą – dviejų dalių pradinių klasių mokytojų informatikos ir skaitmeninių technologijų taikymo ugdymui nuotolinius kursus. </w:t>
            </w:r>
          </w:p>
        </w:tc>
      </w:tr>
      <w:tr w:rsidR="00F376BC" w:rsidRPr="001F4C6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Default="0026108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lastRenderedPageBreak/>
              <w:t>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Pr="0026108D" w:rsidRDefault="001F4C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26108D">
              <w:rPr>
                <w:rFonts w:eastAsia="Calibri" w:cstheme="minorHAnsi"/>
                <w:lang w:val="lt-LT"/>
              </w:rPr>
              <w:t>Atnaujinami</w:t>
            </w:r>
            <w:r w:rsidR="00DD08E7" w:rsidRPr="0026108D">
              <w:rPr>
                <w:rFonts w:eastAsia="Calibri" w:cstheme="minorHAnsi"/>
                <w:lang w:val="lt-LT"/>
              </w:rPr>
              <w:t xml:space="preserve"> parengti</w:t>
            </w:r>
            <w:r w:rsidRPr="0026108D">
              <w:rPr>
                <w:rFonts w:eastAsia="Calibri" w:cstheme="minorHAnsi"/>
                <w:lang w:val="lt-LT"/>
              </w:rPr>
              <w:t xml:space="preserve"> kompiuterijos žodynai: Aiškinamasis kompiuterijos žodynas, Enciklopedinis kompiuterijos žodynas, Anglų–lietuvių kompiuterijos žodynas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Pr="0026108D" w:rsidRDefault="001F4C67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lang w:val="lt-LT"/>
              </w:rPr>
            </w:pPr>
            <w:r w:rsidRPr="0026108D">
              <w:rPr>
                <w:lang w:val="lt-LT"/>
              </w:rPr>
              <w:t>https://raštija.lt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6BC" w:rsidRPr="005D55D2" w:rsidRDefault="00F376BC" w:rsidP="005D55D2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:rsidR="000B6DB8" w:rsidRPr="002A6158" w:rsidRDefault="000B6DB8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15. MTEP infrastruktūros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4"/>
        <w:gridCol w:w="9213"/>
      </w:tblGrid>
      <w:tr w:rsidR="000B6DB8" w:rsidRPr="002A6158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0B6DB8" w:rsidRDefault="000B6DB8" w:rsidP="002A615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>6.9.</w:t>
            </w:r>
            <w:r w:rsidRPr="002A6158">
              <w:rPr>
                <w:rFonts w:eastAsia="Calibri" w:cstheme="minorHAnsi"/>
                <w:lang w:val="lt-LT"/>
              </w:rPr>
              <w:t>1. Turimos MTEP infrastruktūros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0B6DB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6.9.3. </w:t>
            </w:r>
            <w:r w:rsidRPr="002A6158">
              <w:rPr>
                <w:rFonts w:eastAsia="Calibri" w:cstheme="minorHAnsi"/>
                <w:lang w:val="lt-LT"/>
              </w:rPr>
              <w:t>T</w:t>
            </w:r>
            <w:r w:rsidRPr="000B6DB8">
              <w:rPr>
                <w:rFonts w:eastAsia="Calibri" w:cstheme="minorHAnsi"/>
                <w:lang w:val="lt-LT"/>
              </w:rPr>
              <w:t>urima prieig</w:t>
            </w:r>
            <w:r w:rsidR="002A6158" w:rsidRPr="002A6158">
              <w:rPr>
                <w:rFonts w:eastAsia="Calibri" w:cstheme="minorHAnsi"/>
                <w:lang w:val="lt-LT"/>
              </w:rPr>
              <w:t>a prie kitų MTEP infrastruktūrų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0B6DB8" w:rsidRDefault="000B6DB8" w:rsidP="00C86CAA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ind w:left="596" w:hanging="596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6.9.4. </w:t>
            </w:r>
            <w:r w:rsidRPr="002A6158">
              <w:rPr>
                <w:rFonts w:eastAsia="Calibri" w:cstheme="minorHAnsi"/>
                <w:lang w:val="lt-LT"/>
              </w:rPr>
              <w:t>D</w:t>
            </w:r>
            <w:r w:rsidRPr="000B6DB8">
              <w:rPr>
                <w:rFonts w:eastAsia="Calibri" w:cstheme="minorHAnsi"/>
                <w:lang w:val="lt-LT"/>
              </w:rPr>
              <w:t>alyvavimas nacionalinėse ir tarptautinėse mokslinių tyrimų infrastruktūrose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DB8" w:rsidRPr="000B6DB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ind w:right="-108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6.9.5. </w:t>
            </w:r>
            <w:r w:rsidRPr="002A6158">
              <w:rPr>
                <w:rFonts w:eastAsia="Calibri" w:cstheme="minorHAnsi"/>
                <w:lang w:val="lt-LT"/>
              </w:rPr>
              <w:t>D</w:t>
            </w:r>
            <w:r w:rsidRPr="000B6DB8">
              <w:rPr>
                <w:rFonts w:eastAsia="Calibri" w:cstheme="minorHAnsi"/>
                <w:lang w:val="lt-LT"/>
              </w:rPr>
              <w:t>alyvavimas kitose ta</w:t>
            </w:r>
            <w:r w:rsidR="002A6158" w:rsidRPr="002A6158">
              <w:rPr>
                <w:rFonts w:eastAsia="Calibri" w:cstheme="minorHAnsi"/>
                <w:lang w:val="lt-LT"/>
              </w:rPr>
              <w:t>rptautinėse MTEP organizacijose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:rsidR="000B6DB8" w:rsidRDefault="000B6DB8" w:rsidP="00957287">
      <w:pPr>
        <w:spacing w:after="0" w:line="240" w:lineRule="auto"/>
        <w:rPr>
          <w:rFonts w:cstheme="minorHAnsi"/>
          <w:b/>
          <w:lang w:val="lt-LT"/>
        </w:rPr>
      </w:pPr>
      <w:bookmarkStart w:id="0" w:name="_GoBack"/>
      <w:bookmarkEnd w:id="0"/>
    </w:p>
    <w:sectPr w:rsidR="000B6DB8" w:rsidSect="00723C32">
      <w:pgSz w:w="16839" w:h="11907" w:orient="landscape" w:code="9"/>
      <w:pgMar w:top="709" w:right="72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B80" w:rsidRDefault="00D63B80" w:rsidP="001D0A3A">
      <w:pPr>
        <w:spacing w:after="0" w:line="240" w:lineRule="auto"/>
      </w:pPr>
      <w:r>
        <w:separator/>
      </w:r>
    </w:p>
  </w:endnote>
  <w:endnote w:type="continuationSeparator" w:id="0">
    <w:p w:rsidR="00D63B80" w:rsidRDefault="00D63B80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aleway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B80" w:rsidRDefault="00D63B80" w:rsidP="001D0A3A">
      <w:pPr>
        <w:spacing w:after="0" w:line="240" w:lineRule="auto"/>
      </w:pPr>
      <w:r>
        <w:separator/>
      </w:r>
    </w:p>
  </w:footnote>
  <w:footnote w:type="continuationSeparator" w:id="0">
    <w:p w:rsidR="00D63B80" w:rsidRDefault="00D63B80" w:rsidP="001D0A3A">
      <w:pPr>
        <w:spacing w:after="0" w:line="240" w:lineRule="auto"/>
      </w:pPr>
      <w:r>
        <w:continuationSeparator/>
      </w:r>
    </w:p>
  </w:footnote>
  <w:footnote w:id="1">
    <w:p w:rsidR="009C6A45" w:rsidRPr="009C6A45" w:rsidRDefault="009C6A45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lt-LT"/>
        </w:rPr>
        <w:t>Jei dalyvavimas nesibaigė – pabaigos datos nenurodykite.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393"/>
    <w:rsid w:val="000001D3"/>
    <w:rsid w:val="000027A4"/>
    <w:rsid w:val="00025E11"/>
    <w:rsid w:val="000325A9"/>
    <w:rsid w:val="0003674E"/>
    <w:rsid w:val="000A60C1"/>
    <w:rsid w:val="000B6DB8"/>
    <w:rsid w:val="00116C14"/>
    <w:rsid w:val="00141577"/>
    <w:rsid w:val="00165B4B"/>
    <w:rsid w:val="00180D43"/>
    <w:rsid w:val="001820A4"/>
    <w:rsid w:val="001B1667"/>
    <w:rsid w:val="001B72A1"/>
    <w:rsid w:val="001D0A3A"/>
    <w:rsid w:val="001F4C67"/>
    <w:rsid w:val="001F727B"/>
    <w:rsid w:val="00204B6B"/>
    <w:rsid w:val="00245923"/>
    <w:rsid w:val="0026108D"/>
    <w:rsid w:val="002A6158"/>
    <w:rsid w:val="003769AA"/>
    <w:rsid w:val="003A2393"/>
    <w:rsid w:val="00497C7F"/>
    <w:rsid w:val="004A14CA"/>
    <w:rsid w:val="004A734B"/>
    <w:rsid w:val="004B2D1A"/>
    <w:rsid w:val="004F19D1"/>
    <w:rsid w:val="00514AE0"/>
    <w:rsid w:val="0055222A"/>
    <w:rsid w:val="00560D7C"/>
    <w:rsid w:val="00585346"/>
    <w:rsid w:val="005D55D2"/>
    <w:rsid w:val="00604D86"/>
    <w:rsid w:val="00611715"/>
    <w:rsid w:val="00633508"/>
    <w:rsid w:val="006959A1"/>
    <w:rsid w:val="006A67DD"/>
    <w:rsid w:val="006B0CCB"/>
    <w:rsid w:val="006B18BA"/>
    <w:rsid w:val="00723C32"/>
    <w:rsid w:val="007754A2"/>
    <w:rsid w:val="007B3C2B"/>
    <w:rsid w:val="007B476C"/>
    <w:rsid w:val="007C0F06"/>
    <w:rsid w:val="007F0ACA"/>
    <w:rsid w:val="00851FCC"/>
    <w:rsid w:val="00865142"/>
    <w:rsid w:val="008870C0"/>
    <w:rsid w:val="008D6D4A"/>
    <w:rsid w:val="00924BB4"/>
    <w:rsid w:val="00924C89"/>
    <w:rsid w:val="00957287"/>
    <w:rsid w:val="009B1BE1"/>
    <w:rsid w:val="009C277D"/>
    <w:rsid w:val="009C6A45"/>
    <w:rsid w:val="009E2118"/>
    <w:rsid w:val="009E3F1B"/>
    <w:rsid w:val="009F2737"/>
    <w:rsid w:val="00A35BE5"/>
    <w:rsid w:val="00A742E1"/>
    <w:rsid w:val="00AD0351"/>
    <w:rsid w:val="00AD2C7C"/>
    <w:rsid w:val="00AF4701"/>
    <w:rsid w:val="00AF7801"/>
    <w:rsid w:val="00B11400"/>
    <w:rsid w:val="00B47025"/>
    <w:rsid w:val="00B473E2"/>
    <w:rsid w:val="00B82363"/>
    <w:rsid w:val="00BD6BC3"/>
    <w:rsid w:val="00BE3DBB"/>
    <w:rsid w:val="00C646F2"/>
    <w:rsid w:val="00C86CAA"/>
    <w:rsid w:val="00C93D99"/>
    <w:rsid w:val="00CA3D52"/>
    <w:rsid w:val="00CC0149"/>
    <w:rsid w:val="00CF184B"/>
    <w:rsid w:val="00CF2BFE"/>
    <w:rsid w:val="00CF7ACD"/>
    <w:rsid w:val="00D2491E"/>
    <w:rsid w:val="00D43E84"/>
    <w:rsid w:val="00D63B80"/>
    <w:rsid w:val="00DB6D2A"/>
    <w:rsid w:val="00DD08E7"/>
    <w:rsid w:val="00DE6FD3"/>
    <w:rsid w:val="00DF631C"/>
    <w:rsid w:val="00E24BE7"/>
    <w:rsid w:val="00E36C91"/>
    <w:rsid w:val="00E45D75"/>
    <w:rsid w:val="00E47ABB"/>
    <w:rsid w:val="00E715B5"/>
    <w:rsid w:val="00E743F6"/>
    <w:rsid w:val="00E87C6A"/>
    <w:rsid w:val="00F1224D"/>
    <w:rsid w:val="00F32E54"/>
    <w:rsid w:val="00F376BC"/>
    <w:rsid w:val="00F84717"/>
    <w:rsid w:val="00FA092C"/>
    <w:rsid w:val="00FA231F"/>
    <w:rsid w:val="00FB0E51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E0993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ACD"/>
  </w:style>
  <w:style w:type="paragraph" w:styleId="Footer">
    <w:name w:val="footer"/>
    <w:basedOn w:val="Normal"/>
    <w:link w:val="Foot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ACD"/>
  </w:style>
  <w:style w:type="character" w:styleId="Hyperlink">
    <w:name w:val="Hyperlink"/>
    <w:basedOn w:val="DefaultParagraphFont"/>
    <w:uiPriority w:val="99"/>
    <w:unhideWhenUsed/>
    <w:rsid w:val="00165B4B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C646F2"/>
    <w:rPr>
      <w:color w:val="605E5C"/>
      <w:shd w:val="clear" w:color="auto" w:fill="E1DFDD"/>
    </w:rPr>
  </w:style>
  <w:style w:type="paragraph" w:customStyle="1" w:styleId="Pa4">
    <w:name w:val="Pa4"/>
    <w:basedOn w:val="Normal"/>
    <w:next w:val="Normal"/>
    <w:uiPriority w:val="99"/>
    <w:rsid w:val="00A742E1"/>
    <w:pPr>
      <w:autoSpaceDE w:val="0"/>
      <w:autoSpaceDN w:val="0"/>
      <w:adjustRightInd w:val="0"/>
      <w:spacing w:after="0" w:line="221" w:lineRule="atLeast"/>
    </w:pPr>
    <w:rPr>
      <w:rFonts w:ascii="Raleway" w:hAnsi="Raleway"/>
      <w:sz w:val="24"/>
      <w:szCs w:val="24"/>
      <w:lang w:val="lt-LT"/>
    </w:rPr>
  </w:style>
  <w:style w:type="character" w:customStyle="1" w:styleId="A7">
    <w:name w:val="A7"/>
    <w:uiPriority w:val="99"/>
    <w:rsid w:val="00A742E1"/>
    <w:rPr>
      <w:rFonts w:cs="Raleway"/>
      <w:color w:val="000000"/>
      <w:sz w:val="16"/>
      <w:szCs w:val="16"/>
    </w:rPr>
  </w:style>
  <w:style w:type="paragraph" w:customStyle="1" w:styleId="Default">
    <w:name w:val="Default"/>
    <w:rsid w:val="001B7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8BA"/>
    <w:pPr>
      <w:spacing w:after="0" w:line="240" w:lineRule="auto"/>
    </w:pPr>
    <w:rPr>
      <w:rFonts w:ascii="Times New Roman" w:hAnsi="Times New Roman" w:cs="Times New Roman"/>
      <w:sz w:val="24"/>
      <w:szCs w:val="24"/>
      <w:lang w:val="lt-LT" w:eastAsia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8BA"/>
    <w:rPr>
      <w:rFonts w:ascii="Times New Roman" w:hAnsi="Times New Roman" w:cs="Times New Roman"/>
      <w:sz w:val="24"/>
      <w:szCs w:val="24"/>
      <w:lang w:val="lt-LT" w:eastAsia="lt-L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C0149"/>
    <w:pPr>
      <w:spacing w:after="0" w:line="240" w:lineRule="auto"/>
    </w:pPr>
    <w:rPr>
      <w:rFonts w:ascii="Calibri" w:hAnsi="Calibri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C0149"/>
    <w:rPr>
      <w:rFonts w:ascii="Calibri" w:hAnsi="Calibri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library.wiley.com/doi/epdf" TargetMode="External"/><Relationship Id="rId13" Type="http://schemas.openxmlformats.org/officeDocument/2006/relationships/hyperlink" Target="https://www.facebook.com/11th-International-Doctoral-School-on-Education-Research-110174461508213" TargetMode="External"/><Relationship Id="rId18" Type="http://schemas.openxmlformats.org/officeDocument/2006/relationships/hyperlink" Target="https://www.facebook.com/11th-International-Doctoral-School-on-Education-Research-1101744615082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rmatica.vu.lt/journal/INFORMATICA" TargetMode="External"/><Relationship Id="rId12" Type="http://schemas.openxmlformats.org/officeDocument/2006/relationships/hyperlink" Target="https://stem.psu.ac.th/keynote-speakers/" TargetMode="External"/><Relationship Id="rId17" Type="http://schemas.openxmlformats.org/officeDocument/2006/relationships/hyperlink" Target="https://www.nsa.smm.lt/renginys/rekomendaciju-ikimokyklinio-ugdymo-pedagogams-zaisme-ir-atradimai-pristatyma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ebras.l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ssep202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ebras.org" TargetMode="External"/><Relationship Id="rId10" Type="http://schemas.openxmlformats.org/officeDocument/2006/relationships/hyperlink" Target="https://issep202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nlinelibrary.wiley.com/doi/abs" TargetMode="External"/><Relationship Id="rId14" Type="http://schemas.openxmlformats.org/officeDocument/2006/relationships/hyperlink" Target="https://ioinformatics.org/page/ioi-conference/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66C8D-7048-4953-B587-16BD60B5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8773</Words>
  <Characters>5001</Characters>
  <Application>Microsoft Office Word</Application>
  <DocSecurity>0</DocSecurity>
  <Lines>41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Valentina</cp:lastModifiedBy>
  <cp:revision>3</cp:revision>
  <cp:lastPrinted>2021-11-26T15:39:00Z</cp:lastPrinted>
  <dcterms:created xsi:type="dcterms:W3CDTF">2021-12-13T11:30:00Z</dcterms:created>
  <dcterms:modified xsi:type="dcterms:W3CDTF">2021-12-13T20:28:00Z</dcterms:modified>
</cp:coreProperties>
</file>