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Projekto registracijai būtini duomenys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Reikšmė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09.3.3-LMT-K-712-01-0018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ES šalių švietimo sistemų efektyvumo ir našumo analizė naudojant antrinius didelės apimties duomenis (EFECTAS)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color w:val="111111"/>
                <w:rtl w:val="0"/>
              </w:rPr>
              <w:t xml:space="preserve">Europos socialinio fondo lėšos pagal priemonę Nr. 09.3.3-LMT-K-712 veiklą „Mokslininkų kvalifikacijos tobulinimas vykdant aukšto lygio MTEP projektus“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2018-01-15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2022-01-14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599,541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300949469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Audronė Jakaitienė (audrone.jakaitiene@mf.vu.lt, tel. 852109303)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Renata Daunoravičiūtė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MIF DMSTI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Reikšmė</w:t>
            </w:r>
          </w:p>
        </w:tc>
      </w:tr>
      <w:tr>
        <w:trPr>
          <w:trHeight w:val="795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2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S-MIP-20-19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,,Geometrinis metodas daugiamačių skalių uždaviniui spręsti”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Lietuvos mokslo taryba, Mokslininkų grupių projektas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2020-03-09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2022-06-30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149,365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  <w:r w:rsidDel="00000000" w:rsidR="00000000" w:rsidRPr="00000000">
              <w:rPr>
                <w:rtl w:val="0"/>
              </w:rPr>
              <w:t xml:space="preserve"> (gintautas.dzemyda@mii.vu.lt, tel. 868791278)</w:t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3">
            <w:pPr>
              <w:rPr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MIF DMSTI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Reikšmė</w:t>
            </w:r>
          </w:p>
        </w:tc>
      </w:tr>
      <w:tr>
        <w:trPr>
          <w:trHeight w:val="795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P-COV-20-53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Pandeminio streso poveikio gyventojų vartojimo sprendimams kognityvinė analizė ir jo įtakos Lietuvos ekonomikai prognozė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Lietuvos mokslo taryba, Tyrimai skirti parengti sprendimus dėl COVID-19 pandemijos padarinių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2020-06-15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2020-12-31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55,331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Gerda Ana Melnik-Leroy </w:t>
            </w:r>
            <w:r w:rsidDel="00000000" w:rsidR="00000000" w:rsidRPr="00000000">
              <w:rPr>
                <w:rtl w:val="0"/>
              </w:rPr>
              <w:t xml:space="preserve">(gerda.melnik@mif.vu.lt, tel. 865536090)</w:t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1">
            <w:pPr>
              <w:spacing w:after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Nijolė Kavarskienė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MIF DMSTI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701" w:left="1701" w:right="1558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  <w:rtl w:val="0"/>
      </w:rPr>
      <w:t xml:space="preserve">VU Plėtros direkcija, el. p. projektineveikla@cr.vu.lt</w:t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3 forma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